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EF8D" w14:textId="77777777" w:rsidR="00501140" w:rsidRDefault="00501140" w:rsidP="0052309D">
      <w:pPr>
        <w:ind w:left="-284" w:right="-1461"/>
        <w:rPr>
          <w:b/>
          <w:color w:val="005EB8" w:themeColor="accent1"/>
          <w:sz w:val="32"/>
          <w:szCs w:val="36"/>
        </w:rPr>
      </w:pPr>
      <w:r w:rsidRPr="00501140">
        <w:rPr>
          <w:b/>
          <w:color w:val="005EB8" w:themeColor="accent1"/>
          <w:sz w:val="32"/>
          <w:szCs w:val="36"/>
        </w:rPr>
        <w:t>Purpose and Parameters of Key Instruments under the Queensland Planning framework</w:t>
      </w:r>
    </w:p>
    <w:p w14:paraId="52F22BDE" w14:textId="77777777" w:rsidR="004D2FD6" w:rsidRDefault="004D2FD6" w:rsidP="008E170B">
      <w:pPr>
        <w:rPr>
          <w:rFonts w:eastAsiaTheme="minorEastAsia"/>
          <w:sz w:val="20"/>
          <w:szCs w:val="24"/>
        </w:rPr>
      </w:pPr>
    </w:p>
    <w:tbl>
      <w:tblPr>
        <w:tblStyle w:val="ListTable4-Accent5"/>
        <w:tblW w:w="15310" w:type="dxa"/>
        <w:tblInd w:w="-289" w:type="dxa"/>
        <w:tblLayout w:type="fixed"/>
        <w:tblLook w:val="04A0" w:firstRow="1" w:lastRow="0" w:firstColumn="1" w:lastColumn="0" w:noHBand="0" w:noVBand="1"/>
      </w:tblPr>
      <w:tblGrid>
        <w:gridCol w:w="2187"/>
        <w:gridCol w:w="2187"/>
        <w:gridCol w:w="2187"/>
        <w:gridCol w:w="2187"/>
        <w:gridCol w:w="2187"/>
        <w:gridCol w:w="2187"/>
        <w:gridCol w:w="2188"/>
      </w:tblGrid>
      <w:tr w:rsidR="00436653" w:rsidRPr="00704612" w14:paraId="4026E93F" w14:textId="77777777" w:rsidTr="008F7DDB">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187" w:type="dxa"/>
            <w:tcBorders>
              <w:right w:val="nil"/>
            </w:tcBorders>
            <w:vAlign w:val="center"/>
          </w:tcPr>
          <w:p w14:paraId="341D2674" w14:textId="77777777" w:rsidR="00436653" w:rsidRPr="00704612" w:rsidRDefault="00436653" w:rsidP="00BA1E8B">
            <w:pPr>
              <w:rPr>
                <w:rFonts w:eastAsia="Calibri" w:cs="Noto Sans"/>
                <w:b w:val="0"/>
                <w:bCs w:val="0"/>
                <w:color w:val="FFFFFF"/>
                <w:sz w:val="22"/>
                <w:szCs w:val="22"/>
              </w:rPr>
            </w:pPr>
            <w:r w:rsidRPr="00704612">
              <w:rPr>
                <w:rFonts w:eastAsia="Calibri" w:cs="Noto Sans"/>
                <w:color w:val="FFFFFF"/>
                <w:sz w:val="22"/>
                <w:szCs w:val="22"/>
              </w:rPr>
              <w:t>Tool</w:t>
            </w:r>
          </w:p>
        </w:tc>
        <w:tc>
          <w:tcPr>
            <w:tcW w:w="2187" w:type="dxa"/>
            <w:tcBorders>
              <w:left w:val="nil"/>
            </w:tcBorders>
            <w:vAlign w:val="center"/>
          </w:tcPr>
          <w:p w14:paraId="5D5907A8" w14:textId="77777777" w:rsidR="00436653" w:rsidRPr="00704612" w:rsidRDefault="00436653" w:rsidP="00BA1E8B">
            <w:pPr>
              <w:cnfStyle w:val="100000000000" w:firstRow="1" w:lastRow="0" w:firstColumn="0" w:lastColumn="0" w:oddVBand="0" w:evenVBand="0" w:oddHBand="0" w:evenHBand="0" w:firstRowFirstColumn="0" w:firstRowLastColumn="0" w:lastRowFirstColumn="0" w:lastRowLastColumn="0"/>
              <w:rPr>
                <w:rFonts w:eastAsia="Calibri" w:cs="Noto Sans"/>
                <w:b w:val="0"/>
                <w:bCs w:val="0"/>
                <w:color w:val="FFFFFF"/>
                <w:sz w:val="22"/>
                <w:szCs w:val="22"/>
              </w:rPr>
            </w:pPr>
            <w:r w:rsidRPr="00704612">
              <w:rPr>
                <w:rFonts w:eastAsia="Calibri" w:cs="Noto Sans"/>
                <w:color w:val="FFFFFF"/>
                <w:sz w:val="22"/>
                <w:szCs w:val="22"/>
              </w:rPr>
              <w:t>Purpose</w:t>
            </w:r>
          </w:p>
        </w:tc>
        <w:tc>
          <w:tcPr>
            <w:tcW w:w="2187" w:type="dxa"/>
            <w:vAlign w:val="center"/>
          </w:tcPr>
          <w:p w14:paraId="3B87AEDE" w14:textId="77777777" w:rsidR="00436653" w:rsidRPr="00704612" w:rsidRDefault="00436653" w:rsidP="00BA1E8B">
            <w:pPr>
              <w:cnfStyle w:val="100000000000" w:firstRow="1" w:lastRow="0" w:firstColumn="0" w:lastColumn="0" w:oddVBand="0" w:evenVBand="0" w:oddHBand="0" w:evenHBand="0" w:firstRowFirstColumn="0" w:firstRowLastColumn="0" w:lastRowFirstColumn="0" w:lastRowLastColumn="0"/>
              <w:rPr>
                <w:rFonts w:eastAsia="Calibri" w:cs="Noto Sans"/>
                <w:b w:val="0"/>
                <w:bCs w:val="0"/>
                <w:color w:val="FFFFFF"/>
                <w:sz w:val="22"/>
                <w:szCs w:val="22"/>
              </w:rPr>
            </w:pPr>
            <w:r w:rsidRPr="00704612">
              <w:rPr>
                <w:rFonts w:eastAsia="Calibri" w:cs="Noto Sans"/>
                <w:color w:val="FFFFFF"/>
                <w:sz w:val="22"/>
                <w:szCs w:val="22"/>
              </w:rPr>
              <w:t>Parameters</w:t>
            </w:r>
          </w:p>
        </w:tc>
        <w:tc>
          <w:tcPr>
            <w:tcW w:w="2187" w:type="dxa"/>
            <w:vAlign w:val="center"/>
          </w:tcPr>
          <w:p w14:paraId="5F4C57A2" w14:textId="77777777" w:rsidR="00436653" w:rsidRPr="00704612" w:rsidRDefault="00436653" w:rsidP="00BA1E8B">
            <w:pPr>
              <w:cnfStyle w:val="100000000000" w:firstRow="1" w:lastRow="0" w:firstColumn="0" w:lastColumn="0" w:oddVBand="0" w:evenVBand="0" w:oddHBand="0" w:evenHBand="0" w:firstRowFirstColumn="0" w:firstRowLastColumn="0" w:lastRowFirstColumn="0" w:lastRowLastColumn="0"/>
              <w:rPr>
                <w:rFonts w:eastAsia="Calibri" w:cs="Noto Sans"/>
                <w:b w:val="0"/>
                <w:bCs w:val="0"/>
                <w:color w:val="FFFFFF"/>
                <w:sz w:val="22"/>
                <w:szCs w:val="22"/>
              </w:rPr>
            </w:pPr>
            <w:r w:rsidRPr="00704612">
              <w:rPr>
                <w:rFonts w:eastAsia="Calibri" w:cs="Noto Sans"/>
                <w:color w:val="FFFFFF"/>
                <w:sz w:val="22"/>
                <w:szCs w:val="22"/>
              </w:rPr>
              <w:t>Lead role in preparation</w:t>
            </w:r>
          </w:p>
        </w:tc>
        <w:tc>
          <w:tcPr>
            <w:tcW w:w="2187" w:type="dxa"/>
            <w:vAlign w:val="center"/>
          </w:tcPr>
          <w:p w14:paraId="0ECACBA7" w14:textId="77777777" w:rsidR="00436653" w:rsidRPr="00704612" w:rsidRDefault="00436653" w:rsidP="00BA1E8B">
            <w:pPr>
              <w:cnfStyle w:val="100000000000" w:firstRow="1" w:lastRow="0" w:firstColumn="0" w:lastColumn="0" w:oddVBand="0" w:evenVBand="0" w:oddHBand="0" w:evenHBand="0" w:firstRowFirstColumn="0" w:firstRowLastColumn="0" w:lastRowFirstColumn="0" w:lastRowLastColumn="0"/>
              <w:rPr>
                <w:rFonts w:eastAsia="Calibri" w:cs="Noto Sans"/>
                <w:b w:val="0"/>
                <w:bCs w:val="0"/>
                <w:color w:val="FFFFFF"/>
                <w:sz w:val="22"/>
                <w:szCs w:val="22"/>
              </w:rPr>
            </w:pPr>
            <w:r w:rsidRPr="00704612">
              <w:rPr>
                <w:rFonts w:eastAsia="Calibri" w:cs="Noto Sans"/>
                <w:color w:val="FFFFFF"/>
                <w:sz w:val="22"/>
                <w:szCs w:val="22"/>
              </w:rPr>
              <w:t>Is it required?</w:t>
            </w:r>
          </w:p>
        </w:tc>
        <w:tc>
          <w:tcPr>
            <w:tcW w:w="2187" w:type="dxa"/>
            <w:vAlign w:val="center"/>
          </w:tcPr>
          <w:p w14:paraId="14F38B6E" w14:textId="7813A057" w:rsidR="00436653" w:rsidRPr="00704612" w:rsidRDefault="00436653" w:rsidP="00BA1E8B">
            <w:pPr>
              <w:cnfStyle w:val="100000000000" w:firstRow="1" w:lastRow="0" w:firstColumn="0" w:lastColumn="0" w:oddVBand="0" w:evenVBand="0" w:oddHBand="0" w:evenHBand="0" w:firstRowFirstColumn="0" w:firstRowLastColumn="0" w:lastRowFirstColumn="0" w:lastRowLastColumn="0"/>
              <w:rPr>
                <w:rFonts w:eastAsia="Calibri" w:cs="Noto Sans"/>
                <w:b w:val="0"/>
                <w:bCs w:val="0"/>
                <w:color w:val="FFFFFF"/>
                <w:sz w:val="22"/>
                <w:szCs w:val="22"/>
              </w:rPr>
            </w:pPr>
            <w:r w:rsidRPr="00704612">
              <w:rPr>
                <w:rFonts w:eastAsia="Calibri" w:cs="Noto Sans"/>
                <w:color w:val="FFFFFF"/>
                <w:sz w:val="22"/>
                <w:szCs w:val="22"/>
              </w:rPr>
              <w:t xml:space="preserve">Does it deal </w:t>
            </w:r>
            <w:r w:rsidR="008F7DDB">
              <w:rPr>
                <w:rFonts w:eastAsia="Calibri" w:cs="Noto Sans"/>
                <w:color w:val="FFFFFF"/>
                <w:sz w:val="22"/>
                <w:szCs w:val="22"/>
              </w:rPr>
              <w:br/>
            </w:r>
            <w:r w:rsidRPr="00704612">
              <w:rPr>
                <w:rFonts w:eastAsia="Calibri" w:cs="Noto Sans"/>
                <w:color w:val="FFFFFF"/>
                <w:sz w:val="22"/>
                <w:szCs w:val="22"/>
              </w:rPr>
              <w:t xml:space="preserve">with impacts? </w:t>
            </w:r>
          </w:p>
        </w:tc>
        <w:tc>
          <w:tcPr>
            <w:tcW w:w="2188" w:type="dxa"/>
            <w:vAlign w:val="center"/>
          </w:tcPr>
          <w:p w14:paraId="5E38B28E" w14:textId="23FB0F49" w:rsidR="00436653" w:rsidRPr="00704612" w:rsidRDefault="00436653" w:rsidP="00BA1E8B">
            <w:pPr>
              <w:cnfStyle w:val="100000000000" w:firstRow="1" w:lastRow="0" w:firstColumn="0" w:lastColumn="0" w:oddVBand="0" w:evenVBand="0" w:oddHBand="0" w:evenHBand="0" w:firstRowFirstColumn="0" w:firstRowLastColumn="0" w:lastRowFirstColumn="0" w:lastRowLastColumn="0"/>
              <w:rPr>
                <w:rFonts w:eastAsia="Calibri" w:cs="Noto Sans"/>
                <w:b w:val="0"/>
                <w:bCs w:val="0"/>
                <w:color w:val="FFFFFF"/>
                <w:sz w:val="22"/>
                <w:szCs w:val="22"/>
              </w:rPr>
            </w:pPr>
            <w:r w:rsidRPr="00704612">
              <w:rPr>
                <w:rFonts w:eastAsia="Calibri" w:cs="Noto Sans"/>
                <w:color w:val="FFFFFF"/>
                <w:sz w:val="22"/>
                <w:szCs w:val="22"/>
              </w:rPr>
              <w:t xml:space="preserve">Does it deal </w:t>
            </w:r>
            <w:r w:rsidR="008F7DDB">
              <w:rPr>
                <w:rFonts w:eastAsia="Calibri" w:cs="Noto Sans"/>
                <w:color w:val="FFFFFF"/>
                <w:sz w:val="22"/>
                <w:szCs w:val="22"/>
              </w:rPr>
              <w:br/>
            </w:r>
            <w:r w:rsidRPr="00704612">
              <w:rPr>
                <w:rFonts w:eastAsia="Calibri" w:cs="Noto Sans"/>
                <w:color w:val="FFFFFF"/>
                <w:sz w:val="22"/>
                <w:szCs w:val="22"/>
              </w:rPr>
              <w:t>with benefits?</w:t>
            </w:r>
          </w:p>
        </w:tc>
      </w:tr>
      <w:tr w:rsidR="00436653" w:rsidRPr="00704612" w14:paraId="6920C5DA" w14:textId="77777777" w:rsidTr="008F7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7" w:type="dxa"/>
            <w:tcBorders>
              <w:top w:val="single" w:sz="4" w:space="0" w:color="005EB8" w:themeColor="accent5"/>
              <w:right w:val="nil"/>
            </w:tcBorders>
          </w:tcPr>
          <w:p w14:paraId="2FCEF2CD" w14:textId="77777777" w:rsidR="00436653" w:rsidRPr="005057E6" w:rsidRDefault="00436653" w:rsidP="00D46B3A">
            <w:pPr>
              <w:rPr>
                <w:rFonts w:eastAsia="Calibri" w:cs="Noto Sans"/>
                <w:b w:val="0"/>
                <w:bCs w:val="0"/>
                <w:sz w:val="21"/>
                <w:szCs w:val="21"/>
              </w:rPr>
            </w:pPr>
            <w:r w:rsidRPr="005057E6">
              <w:rPr>
                <w:rFonts w:eastAsia="Calibri" w:cs="Noto Sans"/>
                <w:sz w:val="21"/>
                <w:szCs w:val="21"/>
              </w:rPr>
              <w:t>Social Impact Assessment</w:t>
            </w:r>
            <w:r w:rsidRPr="005057E6">
              <w:rPr>
                <w:rFonts w:eastAsia="Calibri" w:cs="Noto Sans"/>
                <w:sz w:val="21"/>
                <w:szCs w:val="21"/>
              </w:rPr>
              <w:br/>
              <w:t>(SIA)</w:t>
            </w:r>
          </w:p>
        </w:tc>
        <w:tc>
          <w:tcPr>
            <w:tcW w:w="2187" w:type="dxa"/>
            <w:tcBorders>
              <w:left w:val="nil"/>
            </w:tcBorders>
          </w:tcPr>
          <w:p w14:paraId="31455EF1"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A process that identifies, analyses and assesses social impacts of a proposed development that is subject to the community benefit system.</w:t>
            </w:r>
          </w:p>
        </w:tc>
        <w:tc>
          <w:tcPr>
            <w:tcW w:w="2187" w:type="dxa"/>
          </w:tcPr>
          <w:p w14:paraId="4D580D6E" w14:textId="121A5D90"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The requirements for social impact assessment reports are established by s.106W of the </w:t>
            </w:r>
            <w:r w:rsidRPr="00AA5C95">
              <w:rPr>
                <w:rFonts w:eastAsia="Calibri" w:cs="Noto Sans"/>
                <w:sz w:val="21"/>
                <w:szCs w:val="21"/>
              </w:rPr>
              <w:t>Planning Act 2016</w:t>
            </w:r>
            <w:r w:rsidRPr="005057E6">
              <w:rPr>
                <w:rFonts w:eastAsia="Calibri" w:cs="Noto Sans"/>
                <w:sz w:val="21"/>
                <w:szCs w:val="21"/>
              </w:rPr>
              <w:t>.</w:t>
            </w:r>
          </w:p>
          <w:p w14:paraId="4608128C" w14:textId="5300637D"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The Social Impact Assessment Guideline is a statutory instrument established under s.106W(2) of the </w:t>
            </w:r>
            <w:r w:rsidRPr="00AA5C95">
              <w:rPr>
                <w:rFonts w:eastAsia="Calibri" w:cs="Noto Sans"/>
                <w:sz w:val="21"/>
                <w:szCs w:val="21"/>
              </w:rPr>
              <w:t>Planning Act 2016</w:t>
            </w:r>
            <w:r w:rsidRPr="005057E6">
              <w:rPr>
                <w:rFonts w:eastAsia="Calibri" w:cs="Noto Sans"/>
                <w:sz w:val="21"/>
                <w:szCs w:val="21"/>
              </w:rPr>
              <w:t xml:space="preserve">. </w:t>
            </w:r>
          </w:p>
          <w:p w14:paraId="5AC9335D"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A social impact assessment report must address the following key matters:</w:t>
            </w:r>
          </w:p>
          <w:p w14:paraId="73C457BD" w14:textId="77777777" w:rsidR="00436653" w:rsidRPr="005057E6" w:rsidRDefault="00436653" w:rsidP="00436653">
            <w:pPr>
              <w:numPr>
                <w:ilvl w:val="0"/>
                <w:numId w:val="29"/>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Community and stakeholder engagement</w:t>
            </w:r>
          </w:p>
          <w:p w14:paraId="4E66EF83" w14:textId="77777777" w:rsidR="00436653" w:rsidRPr="005057E6" w:rsidRDefault="00436653" w:rsidP="00436653">
            <w:pPr>
              <w:numPr>
                <w:ilvl w:val="0"/>
                <w:numId w:val="29"/>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Workforce management</w:t>
            </w:r>
          </w:p>
          <w:p w14:paraId="5DFF462F" w14:textId="77777777" w:rsidR="00436653" w:rsidRPr="005057E6" w:rsidRDefault="00436653" w:rsidP="00436653">
            <w:pPr>
              <w:numPr>
                <w:ilvl w:val="0"/>
                <w:numId w:val="29"/>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lastRenderedPageBreak/>
              <w:t>Housing and accommodation</w:t>
            </w:r>
          </w:p>
          <w:p w14:paraId="253471DC" w14:textId="77777777" w:rsidR="00436653" w:rsidRPr="005057E6" w:rsidRDefault="00436653" w:rsidP="00436653">
            <w:pPr>
              <w:numPr>
                <w:ilvl w:val="0"/>
                <w:numId w:val="29"/>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Local business and industry procurement</w:t>
            </w:r>
          </w:p>
          <w:p w14:paraId="6800D744" w14:textId="77777777" w:rsidR="00436653" w:rsidRPr="005057E6" w:rsidRDefault="00436653" w:rsidP="00436653">
            <w:pPr>
              <w:numPr>
                <w:ilvl w:val="0"/>
                <w:numId w:val="29"/>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Health and community wellbeing</w:t>
            </w:r>
          </w:p>
        </w:tc>
        <w:tc>
          <w:tcPr>
            <w:tcW w:w="2187" w:type="dxa"/>
          </w:tcPr>
          <w:p w14:paraId="034F3D73"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lastRenderedPageBreak/>
              <w:t>Proponent</w:t>
            </w:r>
          </w:p>
          <w:p w14:paraId="01239923" w14:textId="4FDDB8DB"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Local governments have a lead engagement and collaboration role in the SIA process. </w:t>
            </w:r>
          </w:p>
          <w:p w14:paraId="28462416" w14:textId="2BD8A664" w:rsid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Section 3.1.4 of the Supplementary material for assessing and managing the social impacts of projects under the Social Impact Assessment Guideline identifies 4 levels of involvement that can be chosen by a local government – Limited, Low, Medium and High. </w:t>
            </w:r>
          </w:p>
          <w:p w14:paraId="675D0EA0" w14:textId="6034198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Section 3.1.5.1 of the Supplementary material provides </w:t>
            </w:r>
            <w:r w:rsidRPr="005057E6">
              <w:rPr>
                <w:rFonts w:eastAsia="Calibri" w:cs="Noto Sans"/>
                <w:sz w:val="21"/>
                <w:szCs w:val="21"/>
              </w:rPr>
              <w:lastRenderedPageBreak/>
              <w:t xml:space="preserve">guidance for proponents to actively engage with local governments. </w:t>
            </w:r>
          </w:p>
        </w:tc>
        <w:tc>
          <w:tcPr>
            <w:tcW w:w="2187" w:type="dxa"/>
          </w:tcPr>
          <w:p w14:paraId="780710B3" w14:textId="18841A62"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lastRenderedPageBreak/>
              <w:t xml:space="preserve">Yes. A social impact assessment report is required for any development identified in s.51F of the </w:t>
            </w:r>
            <w:r w:rsidRPr="00AA5C95">
              <w:rPr>
                <w:rFonts w:eastAsia="Calibri" w:cs="Noto Sans"/>
                <w:sz w:val="21"/>
                <w:szCs w:val="21"/>
              </w:rPr>
              <w:t>Planning Regulation 2017</w:t>
            </w:r>
            <w:r w:rsidRPr="005057E6">
              <w:rPr>
                <w:rFonts w:eastAsia="Calibri" w:cs="Noto Sans"/>
                <w:sz w:val="21"/>
                <w:szCs w:val="21"/>
              </w:rPr>
              <w:t>.</w:t>
            </w:r>
          </w:p>
          <w:p w14:paraId="447A745B" w14:textId="1EF4D681"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A social impact assessment report is required for the following development:</w:t>
            </w:r>
          </w:p>
          <w:p w14:paraId="28CE9E21" w14:textId="77777777" w:rsidR="00436653" w:rsidRPr="005057E6" w:rsidRDefault="00436653" w:rsidP="00436653">
            <w:pPr>
              <w:numPr>
                <w:ilvl w:val="0"/>
                <w:numId w:val="28"/>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Solar farm 1MW or more of output</w:t>
            </w:r>
          </w:p>
          <w:p w14:paraId="19950E04" w14:textId="77777777" w:rsidR="00436653" w:rsidRPr="005057E6" w:rsidRDefault="00436653" w:rsidP="00436653">
            <w:pPr>
              <w:numPr>
                <w:ilvl w:val="0"/>
                <w:numId w:val="28"/>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Wind farm</w:t>
            </w:r>
          </w:p>
          <w:p w14:paraId="4851527E" w14:textId="77777777" w:rsidR="005057E6" w:rsidRDefault="00436653" w:rsidP="00D46B3A">
            <w:pPr>
              <w:numPr>
                <w:ilvl w:val="0"/>
                <w:numId w:val="28"/>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Battery storage facilities 50MW or more of output</w:t>
            </w:r>
          </w:p>
          <w:p w14:paraId="2DD0272E" w14:textId="77777777" w:rsidR="005057E6" w:rsidRDefault="005057E6" w:rsidP="005057E6">
            <w:p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p w14:paraId="3E4313D2" w14:textId="31D5CF7B" w:rsidR="00436653" w:rsidRPr="005057E6" w:rsidRDefault="00436653" w:rsidP="005057E6">
            <w:p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The Chief Executive under the </w:t>
            </w:r>
            <w:r w:rsidRPr="00AA5C95">
              <w:rPr>
                <w:rFonts w:eastAsia="Calibri" w:cs="Noto Sans"/>
                <w:sz w:val="21"/>
                <w:szCs w:val="21"/>
              </w:rPr>
              <w:t>Planning Act 2016</w:t>
            </w:r>
            <w:r w:rsidRPr="005057E6">
              <w:rPr>
                <w:rFonts w:eastAsia="Calibri" w:cs="Noto Sans"/>
                <w:sz w:val="21"/>
                <w:szCs w:val="21"/>
              </w:rPr>
              <w:t xml:space="preserve"> (currently the DG of DSDIP) can waive the </w:t>
            </w:r>
            <w:r w:rsidRPr="005057E6">
              <w:rPr>
                <w:rFonts w:eastAsia="Calibri" w:cs="Noto Sans"/>
                <w:sz w:val="21"/>
                <w:szCs w:val="21"/>
              </w:rPr>
              <w:lastRenderedPageBreak/>
              <w:t xml:space="preserve">requirement for a social impact assessment report in certain circumstances under s.106ZE of the </w:t>
            </w:r>
            <w:r w:rsidRPr="00AA5C95">
              <w:rPr>
                <w:rFonts w:eastAsia="Calibri" w:cs="Noto Sans"/>
                <w:sz w:val="21"/>
                <w:szCs w:val="21"/>
              </w:rPr>
              <w:t>Planning Act 2016</w:t>
            </w:r>
            <w:r w:rsidRPr="005057E6">
              <w:rPr>
                <w:rFonts w:eastAsia="Calibri" w:cs="Noto Sans"/>
                <w:sz w:val="21"/>
                <w:szCs w:val="21"/>
              </w:rPr>
              <w:t xml:space="preserve">. </w:t>
            </w:r>
          </w:p>
        </w:tc>
        <w:tc>
          <w:tcPr>
            <w:tcW w:w="2187" w:type="dxa"/>
          </w:tcPr>
          <w:p w14:paraId="2E5C2666"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lastRenderedPageBreak/>
              <w:t xml:space="preserve">Yes. Social impacts are defined by ss.106R and 106S of the </w:t>
            </w:r>
            <w:r w:rsidRPr="00AA5C95">
              <w:rPr>
                <w:rFonts w:eastAsia="Calibri" w:cs="Noto Sans"/>
                <w:sz w:val="21"/>
                <w:szCs w:val="21"/>
              </w:rPr>
              <w:t>Planning Act 2016</w:t>
            </w:r>
            <w:r w:rsidRPr="005057E6">
              <w:rPr>
                <w:rFonts w:eastAsia="Calibri" w:cs="Noto Sans"/>
                <w:sz w:val="21"/>
                <w:szCs w:val="21"/>
              </w:rPr>
              <w:t xml:space="preserve">. </w:t>
            </w:r>
          </w:p>
          <w:p w14:paraId="2039D8FE"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p w14:paraId="66465C1E"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tc>
        <w:tc>
          <w:tcPr>
            <w:tcW w:w="2188" w:type="dxa"/>
          </w:tcPr>
          <w:p w14:paraId="3448CE8E" w14:textId="7285797F"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No. A social impact assessment report </w:t>
            </w:r>
            <w:r w:rsidRPr="005057E6">
              <w:rPr>
                <w:rFonts w:eastAsia="Calibri" w:cs="Noto Sans"/>
                <w:sz w:val="21"/>
                <w:szCs w:val="21"/>
                <w:u w:val="single"/>
              </w:rPr>
              <w:t>may</w:t>
            </w:r>
            <w:r w:rsidRPr="005057E6">
              <w:rPr>
                <w:rFonts w:eastAsia="Calibri" w:cs="Noto Sans"/>
                <w:sz w:val="21"/>
                <w:szCs w:val="21"/>
              </w:rPr>
              <w:t xml:space="preserve"> be used as context information to assist with identifying social impacts and in turn the identification of community benefit opportunities. </w:t>
            </w:r>
          </w:p>
          <w:p w14:paraId="6828E763"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p w14:paraId="0441BDF3" w14:textId="77777777" w:rsidR="00436653" w:rsidRPr="005057E6"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tc>
      </w:tr>
      <w:tr w:rsidR="00436653" w:rsidRPr="00704612" w14:paraId="2A6FCD87" w14:textId="77777777" w:rsidTr="008F7DDB">
        <w:tc>
          <w:tcPr>
            <w:cnfStyle w:val="001000000000" w:firstRow="0" w:lastRow="0" w:firstColumn="1" w:lastColumn="0" w:oddVBand="0" w:evenVBand="0" w:oddHBand="0" w:evenHBand="0" w:firstRowFirstColumn="0" w:firstRowLastColumn="0" w:lastRowFirstColumn="0" w:lastRowLastColumn="0"/>
            <w:tcW w:w="2187" w:type="dxa"/>
          </w:tcPr>
          <w:p w14:paraId="29532D57" w14:textId="77777777" w:rsidR="00436653" w:rsidRPr="005057E6" w:rsidRDefault="00436653" w:rsidP="00D46B3A">
            <w:pPr>
              <w:rPr>
                <w:rFonts w:eastAsia="Calibri" w:cs="Noto Sans"/>
                <w:b w:val="0"/>
                <w:bCs w:val="0"/>
                <w:sz w:val="21"/>
                <w:szCs w:val="21"/>
              </w:rPr>
            </w:pPr>
            <w:r w:rsidRPr="005057E6">
              <w:rPr>
                <w:rFonts w:eastAsia="Calibri" w:cs="Noto Sans"/>
                <w:sz w:val="21"/>
                <w:szCs w:val="21"/>
              </w:rPr>
              <w:t xml:space="preserve">Social Impact Management Plan </w:t>
            </w:r>
            <w:r w:rsidRPr="005057E6">
              <w:rPr>
                <w:rFonts w:eastAsia="Calibri" w:cs="Noto Sans"/>
                <w:sz w:val="21"/>
                <w:szCs w:val="21"/>
              </w:rPr>
              <w:br/>
              <w:t>(SIMP)</w:t>
            </w:r>
          </w:p>
        </w:tc>
        <w:tc>
          <w:tcPr>
            <w:tcW w:w="2187" w:type="dxa"/>
          </w:tcPr>
          <w:p w14:paraId="76FF20B8" w14:textId="0592F8D9"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A plan that identifies management measures through a social impact assessment process. </w:t>
            </w:r>
          </w:p>
        </w:tc>
        <w:tc>
          <w:tcPr>
            <w:tcW w:w="2187" w:type="dxa"/>
          </w:tcPr>
          <w:p w14:paraId="349722F0"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Requirements for a social impact management plan are identified in the Social Impact Assessment Guideline, a statutory instrument under the </w:t>
            </w:r>
            <w:r w:rsidRPr="00AA5C95">
              <w:rPr>
                <w:rFonts w:eastAsia="Calibri" w:cs="Noto Sans"/>
                <w:sz w:val="21"/>
                <w:szCs w:val="21"/>
              </w:rPr>
              <w:t>Planning Act 2016</w:t>
            </w:r>
            <w:r w:rsidRPr="005057E6">
              <w:rPr>
                <w:rFonts w:eastAsia="Calibri" w:cs="Noto Sans"/>
                <w:sz w:val="21"/>
                <w:szCs w:val="21"/>
              </w:rPr>
              <w:t>.</w:t>
            </w:r>
          </w:p>
          <w:p w14:paraId="760C8ECD" w14:textId="5310C42C"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The development of a social impact management plan is optional for a social impact assessment process undertaken under the </w:t>
            </w:r>
            <w:r w:rsidRPr="00AA5C95">
              <w:rPr>
                <w:rFonts w:eastAsia="Calibri" w:cs="Noto Sans"/>
                <w:sz w:val="21"/>
                <w:szCs w:val="21"/>
              </w:rPr>
              <w:t xml:space="preserve">Planning Act </w:t>
            </w:r>
            <w:r w:rsidR="00A8049C" w:rsidRPr="00AA5C95">
              <w:rPr>
                <w:rFonts w:eastAsia="Calibri" w:cs="Noto Sans"/>
                <w:sz w:val="21"/>
                <w:szCs w:val="21"/>
              </w:rPr>
              <w:t>2016</w:t>
            </w:r>
            <w:r w:rsidR="00A8049C" w:rsidRPr="005057E6">
              <w:rPr>
                <w:rFonts w:eastAsia="Calibri" w:cs="Noto Sans"/>
                <w:sz w:val="21"/>
                <w:szCs w:val="21"/>
              </w:rPr>
              <w:t xml:space="preserve"> but</w:t>
            </w:r>
            <w:r w:rsidRPr="005057E6">
              <w:rPr>
                <w:rFonts w:eastAsia="Calibri" w:cs="Noto Sans"/>
                <w:sz w:val="21"/>
                <w:szCs w:val="21"/>
              </w:rPr>
              <w:t xml:space="preserve"> is considered leading practice for the </w:t>
            </w:r>
            <w:r w:rsidRPr="005057E6">
              <w:rPr>
                <w:rFonts w:eastAsia="Calibri" w:cs="Noto Sans"/>
                <w:sz w:val="21"/>
                <w:szCs w:val="21"/>
              </w:rPr>
              <w:lastRenderedPageBreak/>
              <w:t xml:space="preserve">implementation of management measures identified through a social impact assessment. </w:t>
            </w:r>
          </w:p>
        </w:tc>
        <w:tc>
          <w:tcPr>
            <w:tcW w:w="2187" w:type="dxa"/>
          </w:tcPr>
          <w:p w14:paraId="5ACF3F3D"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lastRenderedPageBreak/>
              <w:t>Proponent</w:t>
            </w:r>
          </w:p>
          <w:p w14:paraId="071BB61B" w14:textId="655DC6F5"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Local Governments have an engagement role in the SIMP process. </w:t>
            </w:r>
          </w:p>
          <w:p w14:paraId="4D25CD19"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p w14:paraId="3E3A2720"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tc>
        <w:tc>
          <w:tcPr>
            <w:tcW w:w="2187" w:type="dxa"/>
          </w:tcPr>
          <w:p w14:paraId="57FBD7CE"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No. A social impact management plan is optional for a social impact assessment process undertaken under the </w:t>
            </w:r>
            <w:r w:rsidRPr="00AA5C95">
              <w:rPr>
                <w:rFonts w:eastAsia="Calibri" w:cs="Noto Sans"/>
                <w:sz w:val="21"/>
                <w:szCs w:val="21"/>
              </w:rPr>
              <w:t>Planning Act 2016</w:t>
            </w:r>
            <w:r w:rsidRPr="005057E6">
              <w:rPr>
                <w:rFonts w:eastAsia="Calibri" w:cs="Noto Sans"/>
                <w:sz w:val="21"/>
                <w:szCs w:val="21"/>
              </w:rPr>
              <w:t xml:space="preserve">. </w:t>
            </w:r>
          </w:p>
          <w:p w14:paraId="66309E97" w14:textId="2BD45F50"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A social impact management plan is considered best practice for the implementation of any management measures identified through a social impact assessment.</w:t>
            </w:r>
          </w:p>
        </w:tc>
        <w:tc>
          <w:tcPr>
            <w:tcW w:w="2187" w:type="dxa"/>
          </w:tcPr>
          <w:p w14:paraId="7240F9DE"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Yes. Social impacts are defined by ss.106R and 106S of the </w:t>
            </w:r>
            <w:r w:rsidRPr="00AA5C95">
              <w:rPr>
                <w:rFonts w:eastAsia="Calibri" w:cs="Noto Sans"/>
                <w:sz w:val="21"/>
                <w:szCs w:val="21"/>
              </w:rPr>
              <w:t>Planning Act 2016</w:t>
            </w:r>
            <w:r w:rsidRPr="005057E6">
              <w:rPr>
                <w:rFonts w:eastAsia="Calibri" w:cs="Noto Sans"/>
                <w:sz w:val="21"/>
                <w:szCs w:val="21"/>
              </w:rPr>
              <w:t xml:space="preserve">. </w:t>
            </w:r>
          </w:p>
          <w:p w14:paraId="41BEB2E2"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tc>
        <w:tc>
          <w:tcPr>
            <w:tcW w:w="2188" w:type="dxa"/>
          </w:tcPr>
          <w:p w14:paraId="4BE15DE5" w14:textId="0D594FCA"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5057E6">
              <w:rPr>
                <w:rFonts w:eastAsia="Calibri" w:cs="Noto Sans"/>
                <w:sz w:val="21"/>
                <w:szCs w:val="21"/>
              </w:rPr>
              <w:t xml:space="preserve">No. A social impact management plan </w:t>
            </w:r>
            <w:r w:rsidRPr="005057E6">
              <w:rPr>
                <w:rFonts w:eastAsia="Calibri" w:cs="Noto Sans"/>
                <w:sz w:val="21"/>
                <w:szCs w:val="21"/>
                <w:u w:val="single"/>
              </w:rPr>
              <w:t>may</w:t>
            </w:r>
            <w:r w:rsidRPr="005057E6">
              <w:rPr>
                <w:rFonts w:eastAsia="Calibri" w:cs="Noto Sans"/>
                <w:sz w:val="21"/>
                <w:szCs w:val="21"/>
              </w:rPr>
              <w:t xml:space="preserve"> be used as context information to assist with the identification of community benefit opportunities but is not required to. </w:t>
            </w:r>
          </w:p>
          <w:p w14:paraId="1FDBF335"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p w14:paraId="540E0A00"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p w14:paraId="39A2825C" w14:textId="77777777" w:rsidR="00436653" w:rsidRPr="005057E6"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tc>
      </w:tr>
      <w:tr w:rsidR="00436653" w:rsidRPr="00704612" w14:paraId="24E7D5CA" w14:textId="77777777" w:rsidTr="008F7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7" w:type="dxa"/>
          </w:tcPr>
          <w:p w14:paraId="1E2C802C" w14:textId="77777777" w:rsidR="00436653" w:rsidRPr="00602293" w:rsidRDefault="00436653" w:rsidP="00D46B3A">
            <w:pPr>
              <w:rPr>
                <w:rFonts w:eastAsia="Calibri" w:cs="Noto Sans"/>
                <w:b w:val="0"/>
                <w:bCs w:val="0"/>
                <w:sz w:val="21"/>
                <w:szCs w:val="21"/>
              </w:rPr>
            </w:pPr>
            <w:r w:rsidRPr="00602293">
              <w:rPr>
                <w:rFonts w:eastAsia="Calibri" w:cs="Noto Sans"/>
                <w:sz w:val="21"/>
                <w:szCs w:val="21"/>
              </w:rPr>
              <w:t>Community Benefit Agreement</w:t>
            </w:r>
            <w:r w:rsidRPr="00602293">
              <w:rPr>
                <w:rFonts w:eastAsia="Calibri" w:cs="Noto Sans"/>
                <w:sz w:val="21"/>
                <w:szCs w:val="21"/>
              </w:rPr>
              <w:br/>
              <w:t>(CBA)</w:t>
            </w:r>
          </w:p>
        </w:tc>
        <w:tc>
          <w:tcPr>
            <w:tcW w:w="2187" w:type="dxa"/>
          </w:tcPr>
          <w:p w14:paraId="2C3DE071" w14:textId="4F989043"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A legally binding agreement between a local government and an entity (as a minimum) that identifies and details how benefits will be delivered to a community in the locality of a proposed development that is subject to the community benefit system. </w:t>
            </w:r>
          </w:p>
        </w:tc>
        <w:tc>
          <w:tcPr>
            <w:tcW w:w="2187" w:type="dxa"/>
          </w:tcPr>
          <w:p w14:paraId="5CD81B54" w14:textId="3656B60D"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The requirements for preparing and entering into a community benefit agreement are established in s.106Y and s.106Z of the </w:t>
            </w:r>
            <w:r w:rsidRPr="00AA5C95">
              <w:rPr>
                <w:rFonts w:eastAsia="Calibri" w:cs="Noto Sans"/>
                <w:sz w:val="21"/>
                <w:szCs w:val="21"/>
              </w:rPr>
              <w:t>Planning Act 2016</w:t>
            </w:r>
            <w:r w:rsidRPr="00602293">
              <w:rPr>
                <w:rFonts w:eastAsia="Calibri" w:cs="Noto Sans"/>
                <w:sz w:val="21"/>
                <w:szCs w:val="21"/>
              </w:rPr>
              <w:t xml:space="preserve">.  </w:t>
            </w:r>
          </w:p>
          <w:p w14:paraId="50101DAE" w14:textId="3792D702"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The format and structure of a community benefit agreement is determined by the parties that enter into the agreement, subject to the requirements of the </w:t>
            </w:r>
            <w:r w:rsidRPr="00AA5C95">
              <w:rPr>
                <w:rFonts w:eastAsia="Calibri" w:cs="Noto Sans"/>
                <w:sz w:val="21"/>
                <w:szCs w:val="21"/>
              </w:rPr>
              <w:t>Planning Act 2016</w:t>
            </w:r>
            <w:r w:rsidRPr="00602293">
              <w:rPr>
                <w:rFonts w:eastAsia="Calibri" w:cs="Noto Sans"/>
                <w:sz w:val="21"/>
                <w:szCs w:val="21"/>
              </w:rPr>
              <w:t>.</w:t>
            </w:r>
          </w:p>
          <w:p w14:paraId="2409270D" w14:textId="174F29BE"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The Community Benefit Agreements Guidance for Local Governments and </w:t>
            </w:r>
            <w:r w:rsidRPr="00602293">
              <w:rPr>
                <w:rFonts w:eastAsia="Calibri" w:cs="Noto Sans"/>
                <w:sz w:val="21"/>
                <w:szCs w:val="21"/>
              </w:rPr>
              <w:lastRenderedPageBreak/>
              <w:t xml:space="preserve">Proponents dated July 2025 is a non-statutory resource to assist parties understand, negotiate and execute a community benefit agreement. </w:t>
            </w:r>
          </w:p>
        </w:tc>
        <w:tc>
          <w:tcPr>
            <w:tcW w:w="2187" w:type="dxa"/>
          </w:tcPr>
          <w:p w14:paraId="0E2BF205" w14:textId="77777777"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Proponent and local government</w:t>
            </w:r>
          </w:p>
          <w:p w14:paraId="1034A108" w14:textId="53011279"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The Community Benefit Agreements Guidance for Local Governments and Proponents document identifies key considerations for the preparation of a Community Benefit Agreement, which is relevant to both local governments and proponents, whether they take a lead role or other role in the process. </w:t>
            </w:r>
          </w:p>
        </w:tc>
        <w:tc>
          <w:tcPr>
            <w:tcW w:w="2187" w:type="dxa"/>
          </w:tcPr>
          <w:p w14:paraId="4E126268" w14:textId="6B2E8B7D"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Yes. A community benefit agreement is required to be prepared for any development identified in s.51F of the </w:t>
            </w:r>
            <w:r w:rsidRPr="00AA5C95">
              <w:rPr>
                <w:rFonts w:eastAsia="Calibri" w:cs="Noto Sans"/>
                <w:sz w:val="21"/>
                <w:szCs w:val="21"/>
              </w:rPr>
              <w:t>Planning Regulation 2017</w:t>
            </w:r>
            <w:r w:rsidRPr="00602293">
              <w:rPr>
                <w:rFonts w:eastAsia="Calibri" w:cs="Noto Sans"/>
                <w:sz w:val="21"/>
                <w:szCs w:val="21"/>
              </w:rPr>
              <w:t>.</w:t>
            </w:r>
          </w:p>
          <w:p w14:paraId="2C2E8E3E" w14:textId="73AA2AF3"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A community benefit agreement is required for the following development:</w:t>
            </w:r>
          </w:p>
          <w:p w14:paraId="1113A9E2" w14:textId="77777777" w:rsidR="00436653" w:rsidRPr="00602293" w:rsidRDefault="00436653" w:rsidP="00436653">
            <w:pPr>
              <w:numPr>
                <w:ilvl w:val="0"/>
                <w:numId w:val="28"/>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Solar farm 1MW or more of output</w:t>
            </w:r>
          </w:p>
          <w:p w14:paraId="3A68EFE9" w14:textId="77777777" w:rsidR="00436653" w:rsidRPr="00602293" w:rsidRDefault="00436653" w:rsidP="00436653">
            <w:pPr>
              <w:numPr>
                <w:ilvl w:val="0"/>
                <w:numId w:val="28"/>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Wind farm</w:t>
            </w:r>
          </w:p>
          <w:p w14:paraId="590F6689" w14:textId="77777777" w:rsidR="00602293" w:rsidRDefault="00436653" w:rsidP="00602293">
            <w:pPr>
              <w:numPr>
                <w:ilvl w:val="0"/>
                <w:numId w:val="28"/>
              </w:num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Battery storage facilities 50MW or more of output.</w:t>
            </w:r>
          </w:p>
          <w:p w14:paraId="4EF5D204" w14:textId="77777777" w:rsidR="00602293" w:rsidRDefault="00602293" w:rsidP="00602293">
            <w:p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p w14:paraId="0151CA73" w14:textId="623EA5E2" w:rsidR="00436653" w:rsidRPr="00602293" w:rsidRDefault="00436653" w:rsidP="00602293">
            <w:pPr>
              <w:spacing w:after="0"/>
              <w:contextualSpacing/>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The Chief Executive under the </w:t>
            </w:r>
            <w:r w:rsidRPr="00AA5C95">
              <w:rPr>
                <w:rFonts w:eastAsia="Calibri" w:cs="Noto Sans"/>
                <w:sz w:val="21"/>
                <w:szCs w:val="21"/>
              </w:rPr>
              <w:t xml:space="preserve">Planning </w:t>
            </w:r>
            <w:r w:rsidRPr="00AA5C95">
              <w:rPr>
                <w:rFonts w:eastAsia="Calibri" w:cs="Noto Sans"/>
                <w:sz w:val="21"/>
                <w:szCs w:val="21"/>
              </w:rPr>
              <w:lastRenderedPageBreak/>
              <w:t xml:space="preserve">Act 2016 </w:t>
            </w:r>
            <w:r w:rsidRPr="00602293">
              <w:rPr>
                <w:rFonts w:eastAsia="Calibri" w:cs="Noto Sans"/>
                <w:sz w:val="21"/>
                <w:szCs w:val="21"/>
              </w:rPr>
              <w:t xml:space="preserve">(currently the DG of DSDIP) can waive the requirement for a community benefit agreement in certain circumstances under s.106ZE of the </w:t>
            </w:r>
            <w:r w:rsidRPr="00AA5C95">
              <w:rPr>
                <w:rFonts w:eastAsia="Calibri" w:cs="Noto Sans"/>
                <w:sz w:val="21"/>
                <w:szCs w:val="21"/>
              </w:rPr>
              <w:t>Planning Act 2016</w:t>
            </w:r>
            <w:r w:rsidRPr="00602293">
              <w:rPr>
                <w:rFonts w:eastAsia="Calibri" w:cs="Noto Sans"/>
                <w:sz w:val="21"/>
                <w:szCs w:val="21"/>
              </w:rPr>
              <w:t>.</w:t>
            </w:r>
          </w:p>
        </w:tc>
        <w:tc>
          <w:tcPr>
            <w:tcW w:w="2187" w:type="dxa"/>
          </w:tcPr>
          <w:p w14:paraId="39D049B0" w14:textId="6CF441F0"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No. A community benefit agreement may be used to address social impacts identified in a social impact assessment report, where discussed and agreed by the parties to the agreement, but is not required to.</w:t>
            </w:r>
          </w:p>
          <w:p w14:paraId="06A7A95A" w14:textId="77777777"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It is expected that a CBA will be informed by a preceding SIA to ensure that benefits are targeted towards the specific needs of the communities most likely to be affected by the </w:t>
            </w:r>
            <w:r w:rsidRPr="00602293">
              <w:rPr>
                <w:rFonts w:eastAsia="Calibri" w:cs="Noto Sans"/>
                <w:sz w:val="21"/>
                <w:szCs w:val="21"/>
              </w:rPr>
              <w:lastRenderedPageBreak/>
              <w:t xml:space="preserve">proposed development.  </w:t>
            </w:r>
          </w:p>
          <w:p w14:paraId="69189A6A" w14:textId="77777777"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p w14:paraId="6FE8C19A" w14:textId="77777777"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p w14:paraId="4F581CC4" w14:textId="77777777"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p>
        </w:tc>
        <w:tc>
          <w:tcPr>
            <w:tcW w:w="2188" w:type="dxa"/>
          </w:tcPr>
          <w:p w14:paraId="025473BB" w14:textId="71928A0C"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 xml:space="preserve">Yes. A community benefit agreement is the formal mechanism under the </w:t>
            </w:r>
            <w:r w:rsidRPr="00AA5C95">
              <w:rPr>
                <w:rFonts w:eastAsia="Calibri" w:cs="Noto Sans"/>
                <w:sz w:val="21"/>
                <w:szCs w:val="21"/>
              </w:rPr>
              <w:t>Planning Act 2016</w:t>
            </w:r>
            <w:r w:rsidRPr="00602293">
              <w:rPr>
                <w:rFonts w:eastAsia="Calibri" w:cs="Noto Sans"/>
                <w:sz w:val="21"/>
                <w:szCs w:val="21"/>
              </w:rPr>
              <w:t xml:space="preserve"> to deliver community benefits.</w:t>
            </w:r>
          </w:p>
          <w:p w14:paraId="00CF1416" w14:textId="77777777"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Benefits can be provided in the form of contributing towards infrastructure or another thing for the community, or making a financial contribution to the community, as set out in s.106Y of the </w:t>
            </w:r>
            <w:r w:rsidRPr="00AA5C95">
              <w:rPr>
                <w:rFonts w:eastAsia="Calibri" w:cs="Noto Sans"/>
                <w:sz w:val="21"/>
                <w:szCs w:val="21"/>
              </w:rPr>
              <w:t>Planning Act 2016</w:t>
            </w:r>
            <w:r w:rsidRPr="00602293">
              <w:rPr>
                <w:rFonts w:eastAsia="Calibri" w:cs="Noto Sans"/>
                <w:sz w:val="21"/>
                <w:szCs w:val="21"/>
              </w:rPr>
              <w:t>.</w:t>
            </w:r>
          </w:p>
          <w:p w14:paraId="4159964D" w14:textId="1DC6E3ED" w:rsidR="00436653" w:rsidRPr="00602293"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A community benefit agreement is a mechanism to </w:t>
            </w:r>
            <w:r w:rsidRPr="00602293">
              <w:rPr>
                <w:rFonts w:eastAsia="Calibri" w:cs="Noto Sans"/>
                <w:sz w:val="21"/>
                <w:szCs w:val="21"/>
              </w:rPr>
              <w:lastRenderedPageBreak/>
              <w:t>deliver benefits ‘over and above’ or ‘in addition to’ minimum requirements for development.</w:t>
            </w:r>
          </w:p>
        </w:tc>
      </w:tr>
      <w:tr w:rsidR="00436653" w:rsidRPr="00704612" w14:paraId="01A6DC23" w14:textId="77777777" w:rsidTr="008F7DDB">
        <w:tc>
          <w:tcPr>
            <w:cnfStyle w:val="001000000000" w:firstRow="0" w:lastRow="0" w:firstColumn="1" w:lastColumn="0" w:oddVBand="0" w:evenVBand="0" w:oddHBand="0" w:evenHBand="0" w:firstRowFirstColumn="0" w:firstRowLastColumn="0" w:lastRowFirstColumn="0" w:lastRowLastColumn="0"/>
            <w:tcW w:w="2187" w:type="dxa"/>
          </w:tcPr>
          <w:p w14:paraId="6D015F07" w14:textId="77777777" w:rsidR="00436653" w:rsidRPr="00602293" w:rsidRDefault="00436653" w:rsidP="00D46B3A">
            <w:pPr>
              <w:rPr>
                <w:rFonts w:eastAsia="Calibri" w:cs="Noto Sans"/>
                <w:b w:val="0"/>
                <w:bCs w:val="0"/>
                <w:sz w:val="21"/>
                <w:szCs w:val="21"/>
              </w:rPr>
            </w:pPr>
            <w:r w:rsidRPr="00602293">
              <w:rPr>
                <w:rFonts w:eastAsia="Calibri" w:cs="Noto Sans"/>
                <w:sz w:val="21"/>
                <w:szCs w:val="21"/>
              </w:rPr>
              <w:lastRenderedPageBreak/>
              <w:t>Development Assessment</w:t>
            </w:r>
            <w:r w:rsidRPr="00602293">
              <w:rPr>
                <w:rFonts w:eastAsia="Calibri" w:cs="Noto Sans"/>
                <w:sz w:val="21"/>
                <w:szCs w:val="21"/>
              </w:rPr>
              <w:br/>
            </w:r>
          </w:p>
        </w:tc>
        <w:tc>
          <w:tcPr>
            <w:tcW w:w="2187" w:type="dxa"/>
          </w:tcPr>
          <w:p w14:paraId="68A775AB"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A standardised process to assess development applications under the </w:t>
            </w:r>
            <w:r w:rsidRPr="00AA5C95">
              <w:rPr>
                <w:rFonts w:eastAsia="Calibri" w:cs="Noto Sans"/>
                <w:sz w:val="21"/>
                <w:szCs w:val="21"/>
              </w:rPr>
              <w:t>Planning Act 2016</w:t>
            </w:r>
            <w:r w:rsidRPr="00602293">
              <w:rPr>
                <w:rFonts w:eastAsia="Calibri" w:cs="Noto Sans"/>
                <w:sz w:val="21"/>
                <w:szCs w:val="21"/>
              </w:rPr>
              <w:t xml:space="preserve">. </w:t>
            </w:r>
          </w:p>
          <w:p w14:paraId="7B5A1123"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p w14:paraId="49505AC2"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 </w:t>
            </w:r>
          </w:p>
        </w:tc>
        <w:tc>
          <w:tcPr>
            <w:tcW w:w="2187" w:type="dxa"/>
          </w:tcPr>
          <w:p w14:paraId="2AB6A5A9"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The requirements for most development assessment in Queensland are established under the </w:t>
            </w:r>
            <w:r w:rsidRPr="00AA5C95">
              <w:rPr>
                <w:rFonts w:eastAsia="Calibri" w:cs="Noto Sans"/>
                <w:sz w:val="21"/>
                <w:szCs w:val="21"/>
              </w:rPr>
              <w:t>Planning Act 2016</w:t>
            </w:r>
            <w:r w:rsidRPr="00602293">
              <w:rPr>
                <w:rFonts w:eastAsia="Calibri" w:cs="Noto Sans"/>
                <w:sz w:val="21"/>
                <w:szCs w:val="21"/>
              </w:rPr>
              <w:t xml:space="preserve"> and are supported by subordinate legislation, statutory instruments as well as state and local planning instruments, including:</w:t>
            </w:r>
          </w:p>
          <w:p w14:paraId="3BFE0E6D" w14:textId="77777777" w:rsidR="00436653" w:rsidRPr="00AA5C95" w:rsidRDefault="00436653" w:rsidP="00436653">
            <w:pPr>
              <w:numPr>
                <w:ilvl w:val="0"/>
                <w:numId w:val="31"/>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AA5C95">
              <w:rPr>
                <w:rFonts w:eastAsia="Calibri" w:cs="Noto Sans"/>
                <w:sz w:val="21"/>
                <w:szCs w:val="21"/>
              </w:rPr>
              <w:t>Planning Regulation 2017</w:t>
            </w:r>
          </w:p>
          <w:p w14:paraId="1C7C30C2" w14:textId="77777777" w:rsidR="00436653" w:rsidRPr="00602293" w:rsidRDefault="00436653" w:rsidP="00436653">
            <w:pPr>
              <w:numPr>
                <w:ilvl w:val="0"/>
                <w:numId w:val="31"/>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State Planning Policy</w:t>
            </w:r>
          </w:p>
          <w:p w14:paraId="63674F0D" w14:textId="77777777" w:rsidR="00436653" w:rsidRPr="00602293" w:rsidRDefault="00436653" w:rsidP="00436653">
            <w:pPr>
              <w:numPr>
                <w:ilvl w:val="0"/>
                <w:numId w:val="31"/>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Regional Plans</w:t>
            </w:r>
          </w:p>
          <w:p w14:paraId="0D5097FE" w14:textId="77777777" w:rsidR="00436653" w:rsidRPr="00602293" w:rsidRDefault="00436653" w:rsidP="00436653">
            <w:pPr>
              <w:numPr>
                <w:ilvl w:val="0"/>
                <w:numId w:val="31"/>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Development Assessment Rules (DA Rules) </w:t>
            </w:r>
          </w:p>
          <w:p w14:paraId="67E39ED2" w14:textId="77777777" w:rsidR="00436653" w:rsidRPr="00602293" w:rsidRDefault="00436653" w:rsidP="00436653">
            <w:pPr>
              <w:numPr>
                <w:ilvl w:val="0"/>
                <w:numId w:val="31"/>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State Assessment Development Provisions (SDAP)</w:t>
            </w:r>
          </w:p>
          <w:p w14:paraId="2250DD4B" w14:textId="77777777" w:rsidR="00436653" w:rsidRPr="00602293" w:rsidRDefault="00436653" w:rsidP="00436653">
            <w:pPr>
              <w:numPr>
                <w:ilvl w:val="0"/>
                <w:numId w:val="31"/>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Local Government Planning Schemes</w:t>
            </w:r>
          </w:p>
        </w:tc>
        <w:tc>
          <w:tcPr>
            <w:tcW w:w="2187" w:type="dxa"/>
          </w:tcPr>
          <w:p w14:paraId="13465B84"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An applicant makes a development application.</w:t>
            </w:r>
          </w:p>
          <w:p w14:paraId="0D31A58E" w14:textId="378A4F55"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Assessment of development applications is carried out by the assessment manager, which may be SARA or the relevant local government.</w:t>
            </w:r>
          </w:p>
          <w:p w14:paraId="44A900D1"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Where SARA is the assessment manager, section 34 of the Development Assessment Rules </w:t>
            </w:r>
            <w:r w:rsidRPr="00602293">
              <w:rPr>
                <w:rFonts w:eastAsia="Calibri" w:cs="Noto Sans"/>
                <w:sz w:val="21"/>
                <w:szCs w:val="21"/>
              </w:rPr>
              <w:lastRenderedPageBreak/>
              <w:t xml:space="preserve">provides SARA the ability to seek third party advice from local government. </w:t>
            </w:r>
          </w:p>
          <w:p w14:paraId="36DE4927"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A local government can also make a submission to SARA regarding a development application under section 53(6) of the </w:t>
            </w:r>
            <w:r w:rsidRPr="00AA5C95">
              <w:rPr>
                <w:rFonts w:eastAsia="Calibri" w:cs="Noto Sans"/>
                <w:sz w:val="21"/>
                <w:szCs w:val="21"/>
              </w:rPr>
              <w:t>Planning Act 2016</w:t>
            </w:r>
            <w:r w:rsidRPr="00602293">
              <w:rPr>
                <w:rFonts w:eastAsia="Calibri" w:cs="Noto Sans"/>
                <w:sz w:val="21"/>
                <w:szCs w:val="21"/>
              </w:rPr>
              <w:t xml:space="preserve">. </w:t>
            </w:r>
          </w:p>
        </w:tc>
        <w:tc>
          <w:tcPr>
            <w:tcW w:w="2187" w:type="dxa"/>
          </w:tcPr>
          <w:p w14:paraId="08A92015"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 xml:space="preserve">Yes. A development application is required for any development identified as assessable development in either a local categorising instrument (such as a local government planning scheme) or the </w:t>
            </w:r>
            <w:r w:rsidRPr="00AA5C95">
              <w:rPr>
                <w:rFonts w:eastAsia="Calibri" w:cs="Noto Sans"/>
                <w:sz w:val="21"/>
                <w:szCs w:val="21"/>
              </w:rPr>
              <w:t>Planning Regulation 2017</w:t>
            </w:r>
            <w:r w:rsidRPr="00602293">
              <w:rPr>
                <w:rFonts w:eastAsia="Calibri" w:cs="Noto Sans"/>
                <w:sz w:val="21"/>
                <w:szCs w:val="21"/>
              </w:rPr>
              <w:t xml:space="preserve">. </w:t>
            </w:r>
          </w:p>
          <w:p w14:paraId="54A0A4E6"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The </w:t>
            </w:r>
            <w:r w:rsidRPr="00AA5C95">
              <w:rPr>
                <w:rFonts w:eastAsia="Calibri" w:cs="Noto Sans"/>
                <w:sz w:val="21"/>
                <w:szCs w:val="21"/>
              </w:rPr>
              <w:t>Planning Regulation 2017</w:t>
            </w:r>
            <w:r w:rsidRPr="00602293">
              <w:rPr>
                <w:rFonts w:eastAsia="Calibri" w:cs="Noto Sans"/>
                <w:sz w:val="21"/>
                <w:szCs w:val="21"/>
              </w:rPr>
              <w:t xml:space="preserve"> identifies assessable development in </w:t>
            </w:r>
            <w:r w:rsidRPr="00602293">
              <w:rPr>
                <w:rFonts w:eastAsia="Calibri" w:cs="Noto Sans"/>
                <w:sz w:val="21"/>
                <w:szCs w:val="21"/>
              </w:rPr>
              <w:lastRenderedPageBreak/>
              <w:t>Schedule 10.  The following parts of Schedule 10 are applicable to renewable energy projects</w:t>
            </w:r>
          </w:p>
          <w:p w14:paraId="31E30098" w14:textId="77777777" w:rsidR="00436653" w:rsidRPr="00602293" w:rsidRDefault="00436653" w:rsidP="00436653">
            <w:pPr>
              <w:numPr>
                <w:ilvl w:val="0"/>
                <w:numId w:val="30"/>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Part 2 - Battery Storage Facilities</w:t>
            </w:r>
          </w:p>
          <w:p w14:paraId="6C9A966A" w14:textId="77777777" w:rsidR="00436653" w:rsidRPr="00602293" w:rsidRDefault="00436653" w:rsidP="00436653">
            <w:pPr>
              <w:numPr>
                <w:ilvl w:val="0"/>
                <w:numId w:val="30"/>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Part 16AA – Solar Farms</w:t>
            </w:r>
          </w:p>
          <w:p w14:paraId="0E47582E" w14:textId="4BECC9F3" w:rsidR="00436653" w:rsidRPr="00602293" w:rsidRDefault="00436653" w:rsidP="00602293">
            <w:pPr>
              <w:numPr>
                <w:ilvl w:val="0"/>
                <w:numId w:val="30"/>
              </w:numPr>
              <w:spacing w:after="0"/>
              <w:contextualSpacing/>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Part 21 – Wind Farms</w:t>
            </w:r>
          </w:p>
        </w:tc>
        <w:tc>
          <w:tcPr>
            <w:tcW w:w="2187" w:type="dxa"/>
          </w:tcPr>
          <w:p w14:paraId="620E9C1A"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Yes.  Land use and development impacts are assessed and considered when determining if a development application should be approved, approved subject to conditions or refused.</w:t>
            </w:r>
          </w:p>
          <w:p w14:paraId="16FC335E"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Conditions of development approval are used to establish the extent of the approved development and </w:t>
            </w:r>
            <w:r w:rsidRPr="00602293">
              <w:rPr>
                <w:rFonts w:eastAsia="Calibri" w:cs="Noto Sans"/>
                <w:sz w:val="21"/>
                <w:szCs w:val="21"/>
              </w:rPr>
              <w:lastRenderedPageBreak/>
              <w:t>to manage development impacts. Conditions must be reasonable and relevant.</w:t>
            </w:r>
          </w:p>
          <w:p w14:paraId="644B4AEE"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p w14:paraId="378665A0"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Section 65AA provides for other permitted development conditions relating to development requiring SIA. </w:t>
            </w:r>
          </w:p>
        </w:tc>
        <w:tc>
          <w:tcPr>
            <w:tcW w:w="2188" w:type="dxa"/>
          </w:tcPr>
          <w:p w14:paraId="39F58ACF"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lastRenderedPageBreak/>
              <w:t xml:space="preserve">An impact assessment under the </w:t>
            </w:r>
            <w:r w:rsidRPr="00AA5C95">
              <w:rPr>
                <w:rFonts w:eastAsia="Calibri" w:cs="Noto Sans"/>
                <w:sz w:val="21"/>
                <w:szCs w:val="21"/>
              </w:rPr>
              <w:t>Planning Act 2016</w:t>
            </w:r>
            <w:r w:rsidRPr="00602293">
              <w:rPr>
                <w:rFonts w:eastAsia="Calibri" w:cs="Noto Sans"/>
                <w:sz w:val="21"/>
                <w:szCs w:val="21"/>
              </w:rPr>
              <w:t xml:space="preserve"> permits a broad ranging assessment of a development proposal including having regard to relevant matters for the proposal. </w:t>
            </w:r>
          </w:p>
          <w:p w14:paraId="1BDAFF51"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r w:rsidRPr="00602293">
              <w:rPr>
                <w:rFonts w:eastAsia="Calibri" w:cs="Noto Sans"/>
                <w:sz w:val="21"/>
                <w:szCs w:val="21"/>
              </w:rPr>
              <w:t xml:space="preserve">However, the community benefit system and development assessment system trigger different processes and requirements </w:t>
            </w:r>
            <w:r w:rsidRPr="00602293">
              <w:rPr>
                <w:rFonts w:eastAsia="Calibri" w:cs="Noto Sans"/>
                <w:sz w:val="21"/>
                <w:szCs w:val="21"/>
              </w:rPr>
              <w:lastRenderedPageBreak/>
              <w:t xml:space="preserve">under the </w:t>
            </w:r>
            <w:r w:rsidRPr="00AA5C95">
              <w:rPr>
                <w:rFonts w:eastAsia="Calibri" w:cs="Noto Sans"/>
                <w:sz w:val="21"/>
                <w:szCs w:val="21"/>
              </w:rPr>
              <w:t>Planning Act 2016</w:t>
            </w:r>
            <w:r w:rsidRPr="00602293">
              <w:rPr>
                <w:rFonts w:eastAsia="Calibri" w:cs="Noto Sans"/>
                <w:sz w:val="21"/>
                <w:szCs w:val="21"/>
              </w:rPr>
              <w:t xml:space="preserve">, particularly with respect to community benefits for a proposal.  </w:t>
            </w:r>
          </w:p>
          <w:p w14:paraId="3B819148"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p w14:paraId="74AF3C3D" w14:textId="77777777" w:rsidR="00436653" w:rsidRPr="00602293" w:rsidRDefault="00436653" w:rsidP="00D46B3A">
            <w:pPr>
              <w:cnfStyle w:val="000000000000" w:firstRow="0" w:lastRow="0" w:firstColumn="0" w:lastColumn="0" w:oddVBand="0" w:evenVBand="0" w:oddHBand="0" w:evenHBand="0" w:firstRowFirstColumn="0" w:firstRowLastColumn="0" w:lastRowFirstColumn="0" w:lastRowLastColumn="0"/>
              <w:rPr>
                <w:rFonts w:eastAsia="Calibri" w:cs="Noto Sans"/>
                <w:sz w:val="21"/>
                <w:szCs w:val="21"/>
              </w:rPr>
            </w:pPr>
          </w:p>
        </w:tc>
      </w:tr>
      <w:tr w:rsidR="00436653" w:rsidRPr="00704612" w14:paraId="6E24A9C6" w14:textId="77777777" w:rsidTr="008F7D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7" w:type="dxa"/>
          </w:tcPr>
          <w:p w14:paraId="7957D472" w14:textId="77777777" w:rsidR="00436653" w:rsidRPr="00585E27" w:rsidRDefault="00436653" w:rsidP="00D46B3A">
            <w:pPr>
              <w:rPr>
                <w:rFonts w:eastAsia="Calibri" w:cs="Noto Sans"/>
                <w:b w:val="0"/>
                <w:bCs w:val="0"/>
                <w:sz w:val="21"/>
                <w:szCs w:val="21"/>
              </w:rPr>
            </w:pPr>
            <w:r w:rsidRPr="00585E27">
              <w:rPr>
                <w:rFonts w:eastAsia="Calibri" w:cs="Noto Sans"/>
                <w:sz w:val="21"/>
                <w:szCs w:val="21"/>
              </w:rPr>
              <w:lastRenderedPageBreak/>
              <w:t>Infrastructure Agreement (IA)</w:t>
            </w:r>
          </w:p>
        </w:tc>
        <w:tc>
          <w:tcPr>
            <w:tcW w:w="2187" w:type="dxa"/>
          </w:tcPr>
          <w:p w14:paraId="397E2049" w14:textId="77777777"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A legally binding agreement between parties that establishes obligations for the funding or delivery of infrastructure. </w:t>
            </w:r>
          </w:p>
        </w:tc>
        <w:tc>
          <w:tcPr>
            <w:tcW w:w="2187" w:type="dxa"/>
          </w:tcPr>
          <w:p w14:paraId="36A9741A" w14:textId="50125183"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The requirements for infrastructure agreements are established in Chapter 4, Part 4 of the </w:t>
            </w:r>
            <w:r w:rsidRPr="00AA5C95">
              <w:rPr>
                <w:rFonts w:eastAsia="Calibri" w:cs="Noto Sans"/>
                <w:sz w:val="21"/>
                <w:szCs w:val="21"/>
              </w:rPr>
              <w:t>Planning Act 2016</w:t>
            </w:r>
            <w:r w:rsidRPr="00585E27">
              <w:rPr>
                <w:rFonts w:eastAsia="Calibri" w:cs="Noto Sans"/>
                <w:sz w:val="21"/>
                <w:szCs w:val="21"/>
              </w:rPr>
              <w:t xml:space="preserve">.  </w:t>
            </w:r>
          </w:p>
          <w:p w14:paraId="7AC4C0E4" w14:textId="19804AF9"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Infrastructure agreements are voluntary and must be negotiated in good faith.  In many cases, infrastructure agreements attach </w:t>
            </w:r>
            <w:r w:rsidRPr="00585E27">
              <w:rPr>
                <w:rFonts w:eastAsia="Calibri" w:cs="Noto Sans"/>
                <w:sz w:val="21"/>
                <w:szCs w:val="21"/>
              </w:rPr>
              <w:lastRenderedPageBreak/>
              <w:t xml:space="preserve">to the premises and bind the owner and the owner’s successors in title (subsequent owners if land is sold). </w:t>
            </w:r>
          </w:p>
          <w:p w14:paraId="619C85C6" w14:textId="4A3957F2"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An infrastructure agreement must address the matters identified </w:t>
            </w:r>
            <w:r w:rsidR="008421A2" w:rsidRPr="00585E27">
              <w:rPr>
                <w:rFonts w:eastAsia="Calibri" w:cs="Noto Sans"/>
                <w:sz w:val="21"/>
                <w:szCs w:val="21"/>
              </w:rPr>
              <w:t>in s.152</w:t>
            </w:r>
            <w:r w:rsidRPr="00585E27">
              <w:rPr>
                <w:rFonts w:eastAsia="Calibri" w:cs="Noto Sans"/>
                <w:sz w:val="21"/>
                <w:szCs w:val="21"/>
              </w:rPr>
              <w:t xml:space="preserve"> of the </w:t>
            </w:r>
            <w:r w:rsidRPr="00AA5C95">
              <w:rPr>
                <w:rFonts w:eastAsia="Calibri" w:cs="Noto Sans"/>
                <w:sz w:val="21"/>
                <w:szCs w:val="21"/>
              </w:rPr>
              <w:t>Planning Act 2016</w:t>
            </w:r>
            <w:r w:rsidRPr="00585E27">
              <w:rPr>
                <w:rFonts w:eastAsia="Calibri" w:cs="Noto Sans"/>
                <w:sz w:val="21"/>
                <w:szCs w:val="21"/>
              </w:rPr>
              <w:t xml:space="preserve">, if relevant. </w:t>
            </w:r>
          </w:p>
        </w:tc>
        <w:tc>
          <w:tcPr>
            <w:tcW w:w="2187" w:type="dxa"/>
          </w:tcPr>
          <w:p w14:paraId="4CC4F603" w14:textId="77777777"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lastRenderedPageBreak/>
              <w:t>Proponent and Local Government</w:t>
            </w:r>
          </w:p>
          <w:p w14:paraId="259E1AF5" w14:textId="5F43044A"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Section 4.3 of the Local Infrastructure Planning Guidance for local governments and applicants identifies key considerations and principles for negotiating and preparing infrastructure agreements. </w:t>
            </w:r>
          </w:p>
        </w:tc>
        <w:tc>
          <w:tcPr>
            <w:tcW w:w="2187" w:type="dxa"/>
          </w:tcPr>
          <w:p w14:paraId="3D7CFA00" w14:textId="2908829F"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No. An infrastructure agreement is a voluntary agreement between parties. While it is a commonly used mechanism for the delivery of infrastructure, it is not a requirement to deliver infrastructure. </w:t>
            </w:r>
          </w:p>
        </w:tc>
        <w:tc>
          <w:tcPr>
            <w:tcW w:w="2187" w:type="dxa"/>
          </w:tcPr>
          <w:p w14:paraId="7E8FB966" w14:textId="4687CB47"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Infrastructure agreements may be entered into in relation to the delivery of infrastructure required </w:t>
            </w:r>
            <w:proofErr w:type="gramStart"/>
            <w:r w:rsidRPr="00585E27">
              <w:rPr>
                <w:rFonts w:eastAsia="Calibri" w:cs="Noto Sans"/>
                <w:sz w:val="21"/>
                <w:szCs w:val="21"/>
              </w:rPr>
              <w:t>as a result of</w:t>
            </w:r>
            <w:proofErr w:type="gramEnd"/>
            <w:r w:rsidRPr="00585E27">
              <w:rPr>
                <w:rFonts w:eastAsia="Calibri" w:cs="Noto Sans"/>
                <w:sz w:val="21"/>
                <w:szCs w:val="21"/>
              </w:rPr>
              <w:t xml:space="preserve"> proposed development, or to address the impacts of development.</w:t>
            </w:r>
          </w:p>
        </w:tc>
        <w:tc>
          <w:tcPr>
            <w:tcW w:w="2188" w:type="dxa"/>
          </w:tcPr>
          <w:p w14:paraId="6AC8715E" w14:textId="628E4180"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An infrastructure agreement may be used to deliver </w:t>
            </w:r>
            <w:r w:rsidR="008421A2" w:rsidRPr="00585E27">
              <w:rPr>
                <w:rFonts w:eastAsia="Calibri" w:cs="Noto Sans"/>
                <w:sz w:val="21"/>
                <w:szCs w:val="21"/>
              </w:rPr>
              <w:t>infrastructure-based</w:t>
            </w:r>
            <w:r w:rsidRPr="00585E27">
              <w:rPr>
                <w:rFonts w:eastAsia="Calibri" w:cs="Noto Sans"/>
                <w:sz w:val="21"/>
                <w:szCs w:val="21"/>
              </w:rPr>
              <w:t xml:space="preserve"> benefits identified in a CBA, should that be considered suitable by the parties. </w:t>
            </w:r>
          </w:p>
          <w:p w14:paraId="26B211F8" w14:textId="2104A4F7"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rPr>
            </w:pPr>
            <w:r w:rsidRPr="00585E27">
              <w:rPr>
                <w:rFonts w:eastAsia="Calibri" w:cs="Noto Sans"/>
                <w:sz w:val="21"/>
                <w:szCs w:val="21"/>
              </w:rPr>
              <w:t xml:space="preserve">To the extent of an inconsistency, a community benefit agreement prevails over an infrastructure </w:t>
            </w:r>
            <w:r w:rsidRPr="00585E27">
              <w:rPr>
                <w:rFonts w:eastAsia="Calibri" w:cs="Noto Sans"/>
                <w:sz w:val="21"/>
                <w:szCs w:val="21"/>
              </w:rPr>
              <w:lastRenderedPageBreak/>
              <w:t>agreement relating to the same development approval.</w:t>
            </w:r>
          </w:p>
          <w:p w14:paraId="18682373" w14:textId="77777777" w:rsidR="00436653" w:rsidRPr="00585E27" w:rsidRDefault="00436653" w:rsidP="00D46B3A">
            <w:pPr>
              <w:cnfStyle w:val="000000100000" w:firstRow="0" w:lastRow="0" w:firstColumn="0" w:lastColumn="0" w:oddVBand="0" w:evenVBand="0" w:oddHBand="1" w:evenHBand="0" w:firstRowFirstColumn="0" w:firstRowLastColumn="0" w:lastRowFirstColumn="0" w:lastRowLastColumn="0"/>
              <w:rPr>
                <w:rFonts w:eastAsia="Calibri" w:cs="Noto Sans"/>
                <w:sz w:val="21"/>
                <w:szCs w:val="21"/>
                <w:highlight w:val="cyan"/>
              </w:rPr>
            </w:pPr>
          </w:p>
        </w:tc>
      </w:tr>
    </w:tbl>
    <w:p w14:paraId="06897B28" w14:textId="77777777" w:rsidR="00436653" w:rsidRDefault="00436653" w:rsidP="0080700B">
      <w:pPr>
        <w:spacing w:after="0"/>
        <w:rPr>
          <w:rFonts w:eastAsiaTheme="minorEastAsia"/>
          <w:sz w:val="20"/>
          <w:szCs w:val="24"/>
        </w:rPr>
      </w:pPr>
    </w:p>
    <w:p w14:paraId="02814412" w14:textId="77777777" w:rsidR="00436653" w:rsidRPr="00143EAF" w:rsidRDefault="00436653" w:rsidP="0080700B">
      <w:pPr>
        <w:spacing w:after="0"/>
        <w:ind w:right="-1744"/>
        <w:rPr>
          <w:rFonts w:eastAsiaTheme="minorEastAsia"/>
          <w:sz w:val="20"/>
          <w:szCs w:val="24"/>
        </w:rPr>
      </w:pPr>
    </w:p>
    <w:p w14:paraId="0F243EF2" w14:textId="0994C724" w:rsidR="00F345FE" w:rsidRPr="00CB59D1" w:rsidRDefault="008E170B" w:rsidP="00585E27">
      <w:pPr>
        <w:ind w:left="-284"/>
        <w:rPr>
          <w:rFonts w:cs="Noto Sans"/>
          <w:i/>
          <w:sz w:val="22"/>
          <w:szCs w:val="22"/>
        </w:rPr>
      </w:pPr>
      <w:r w:rsidRPr="00CB59D1">
        <w:rPr>
          <w:rFonts w:cs="Noto Sans"/>
          <w:i/>
          <w:iCs/>
          <w:sz w:val="22"/>
          <w:szCs w:val="22"/>
        </w:rPr>
        <w:t>This resource is not an instrument prescribed by statute and provides no statutory guidance. Any references to policies are not an interpretation of those policies. The material or any part of the material in this resource (including any references to legislation) does not constitute legal advice. This resource should not be relied upon for the making of any decisions or the taking of any actions.</w:t>
      </w:r>
    </w:p>
    <w:sectPr w:rsidR="00F345FE" w:rsidRPr="00CB59D1" w:rsidSect="00585E27">
      <w:headerReference w:type="default" r:id="rId11"/>
      <w:footerReference w:type="default" r:id="rId12"/>
      <w:headerReference w:type="first" r:id="rId13"/>
      <w:footerReference w:type="first" r:id="rId14"/>
      <w:type w:val="continuous"/>
      <w:pgSz w:w="16840" w:h="11907" w:orient="landscape" w:code="9"/>
      <w:pgMar w:top="837" w:right="724" w:bottom="851" w:left="1090" w:header="709" w:footer="708" w:gutter="0"/>
      <w:cols w:space="709"/>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F2B0" w14:textId="77777777" w:rsidR="00676642" w:rsidRDefault="00676642" w:rsidP="00BD277D">
      <w:r>
        <w:separator/>
      </w:r>
    </w:p>
  </w:endnote>
  <w:endnote w:type="continuationSeparator" w:id="0">
    <w:p w14:paraId="02B1ADDA" w14:textId="77777777" w:rsidR="00676642" w:rsidRDefault="00676642" w:rsidP="00BD2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Calibri"/>
    <w:panose1 w:val="020B0502040504020204"/>
    <w:charset w:val="00"/>
    <w:family w:val="swiss"/>
    <w:pitch w:val="variable"/>
    <w:sig w:usb0="E00082FF" w:usb1="400078FF" w:usb2="08000029"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aloo Tammudu 2 ExtraBold">
    <w:charset w:val="4D"/>
    <w:family w:val="script"/>
    <w:pitch w:val="variable"/>
    <w:sig w:usb0="A020007F" w:usb1="4000207B" w:usb2="00000000" w:usb3="00000000" w:csb0="00000193" w:csb1="00000000"/>
  </w:font>
  <w:font w:name="Noto Sans Black">
    <w:altName w:val="Calibri"/>
    <w:panose1 w:val="020B0502040504020204"/>
    <w:charset w:val="00"/>
    <w:family w:val="swiss"/>
    <w:pitch w:val="variable"/>
    <w:sig w:usb0="E00002FF" w:usb1="4000201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0643A" w14:textId="6E4809A9" w:rsidR="007663EA" w:rsidRPr="0093558C" w:rsidRDefault="0093558C" w:rsidP="001419D1">
    <w:pPr>
      <w:pStyle w:val="Footer"/>
      <w:rPr>
        <w:b/>
        <w:bCs/>
        <w:color w:val="005EB8" w:themeColor="accent5"/>
      </w:rPr>
    </w:pPr>
    <w:r>
      <w:rPr>
        <w:noProof/>
      </w:rPr>
      <w:drawing>
        <wp:anchor distT="0" distB="0" distL="114300" distR="114300" simplePos="0" relativeHeight="251658241" behindDoc="1" locked="0" layoutInCell="1" allowOverlap="1" wp14:anchorId="3018435B" wp14:editId="5CA79513">
          <wp:simplePos x="0" y="0"/>
          <wp:positionH relativeFrom="column">
            <wp:posOffset>3373120</wp:posOffset>
          </wp:positionH>
          <wp:positionV relativeFrom="paragraph">
            <wp:posOffset>-8890</wp:posOffset>
          </wp:positionV>
          <wp:extent cx="3096895" cy="520065"/>
          <wp:effectExtent l="0" t="0" r="8255" b="0"/>
          <wp:wrapNone/>
          <wp:docPr id="446455838"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652652" w:rsidRPr="0093558C">
      <w:rPr>
        <w:b/>
        <w:bCs/>
        <w:color w:val="005EB8" w:themeColor="accent5"/>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702D" w14:textId="77777777" w:rsidR="00A14DBB" w:rsidRDefault="00BD39F3" w:rsidP="00BD39F3">
    <w:pPr>
      <w:pStyle w:val="Footer"/>
      <w:tabs>
        <w:tab w:val="clear" w:pos="4153"/>
        <w:tab w:val="clear" w:pos="8306"/>
        <w:tab w:val="left" w:pos="4635"/>
      </w:tabs>
      <w:rPr>
        <w:color w:val="005EB8" w:themeColor="accent5"/>
      </w:rPr>
    </w:pPr>
    <w:r>
      <w:rPr>
        <w:color w:val="005EB8" w:themeColor="accent5"/>
      </w:rPr>
      <w:tab/>
    </w:r>
  </w:p>
  <w:p w14:paraId="5A4C233F" w14:textId="7E307C24" w:rsidR="00A14DBB" w:rsidRDefault="008B4BC6" w:rsidP="00D466FC">
    <w:pPr>
      <w:pStyle w:val="Footer"/>
      <w:tabs>
        <w:tab w:val="clear" w:pos="4153"/>
        <w:tab w:val="clear" w:pos="8306"/>
        <w:tab w:val="left" w:pos="3093"/>
      </w:tabs>
    </w:pPr>
    <w:r>
      <w:rPr>
        <w:noProof/>
      </w:rPr>
      <w:drawing>
        <wp:anchor distT="0" distB="0" distL="114300" distR="114300" simplePos="0" relativeHeight="251658240" behindDoc="1" locked="0" layoutInCell="1" allowOverlap="1" wp14:anchorId="727386F4" wp14:editId="25177CAC">
          <wp:simplePos x="0" y="0"/>
          <wp:positionH relativeFrom="column">
            <wp:posOffset>3381375</wp:posOffset>
          </wp:positionH>
          <wp:positionV relativeFrom="paragraph">
            <wp:posOffset>-85090</wp:posOffset>
          </wp:positionV>
          <wp:extent cx="3096895" cy="520065"/>
          <wp:effectExtent l="0" t="0" r="8255" b="0"/>
          <wp:wrapNone/>
          <wp:docPr id="1862904177" name="Picture 3" descr="A whit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902612" name="Picture 3" descr="A white logo with a black background&#10;&#10;AI-generated content may be incorrect."/>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6895" cy="520065"/>
                  </a:xfrm>
                  <a:prstGeom prst="rect">
                    <a:avLst/>
                  </a:prstGeom>
                  <a:noFill/>
                  <a:ln>
                    <a:noFill/>
                  </a:ln>
                </pic:spPr>
              </pic:pic>
            </a:graphicData>
          </a:graphic>
        </wp:anchor>
      </w:drawing>
    </w:r>
    <w:r w:rsidR="00D466FC">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E311C" w14:textId="77777777" w:rsidR="00676642" w:rsidRDefault="00676642" w:rsidP="00BD277D">
      <w:r>
        <w:separator/>
      </w:r>
    </w:p>
  </w:footnote>
  <w:footnote w:type="continuationSeparator" w:id="0">
    <w:p w14:paraId="56F4D878" w14:textId="77777777" w:rsidR="00676642" w:rsidRDefault="00676642" w:rsidP="00BD2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52097" w14:textId="0E27F9D3" w:rsidR="0093558C" w:rsidRPr="0093558C" w:rsidRDefault="00703354" w:rsidP="0016468A">
    <w:pPr>
      <w:pStyle w:val="Header"/>
      <w:tabs>
        <w:tab w:val="clear" w:pos="8306"/>
        <w:tab w:val="left" w:pos="6359"/>
        <w:tab w:val="left" w:pos="7216"/>
        <w:tab w:val="right" w:pos="9540"/>
        <w:tab w:val="right" w:pos="10205"/>
      </w:tabs>
      <w:spacing w:after="0"/>
      <w:rPr>
        <w:rFonts w:cs="Noto Sans"/>
        <w:color w:val="005EB8"/>
        <w:lang w:val="en-US"/>
      </w:rPr>
    </w:pPr>
    <w:r w:rsidRPr="0093558C">
      <w:rPr>
        <w:rFonts w:cs="Noto Sans"/>
        <w:noProof/>
        <w:color w:val="005EB8"/>
        <w:sz w:val="22"/>
        <w:szCs w:val="32"/>
        <w:lang w:val="en-US"/>
      </w:rPr>
      <mc:AlternateContent>
        <mc:Choice Requires="wps">
          <w:drawing>
            <wp:anchor distT="0" distB="0" distL="114300" distR="114300" simplePos="0" relativeHeight="251658242" behindDoc="0" locked="0" layoutInCell="1" allowOverlap="1" wp14:anchorId="482597EE" wp14:editId="63D339B2">
              <wp:simplePos x="0" y="0"/>
              <wp:positionH relativeFrom="column">
                <wp:posOffset>-930363</wp:posOffset>
              </wp:positionH>
              <wp:positionV relativeFrom="paragraph">
                <wp:posOffset>267415</wp:posOffset>
              </wp:positionV>
              <wp:extent cx="15460240" cy="0"/>
              <wp:effectExtent l="0" t="0" r="8890" b="12700"/>
              <wp:wrapNone/>
              <wp:docPr id="764584714" name="Straight Connector 1"/>
              <wp:cNvGraphicFramePr/>
              <a:graphic xmlns:a="http://schemas.openxmlformats.org/drawingml/2006/main">
                <a:graphicData uri="http://schemas.microsoft.com/office/word/2010/wordprocessingShape">
                  <wps:wsp>
                    <wps:cNvCnPr/>
                    <wps:spPr>
                      <a:xfrm>
                        <a:off x="0" y="0"/>
                        <a:ext cx="1546024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BC8F0D" id="Straight Connector 1"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25pt,21.05pt" to="1144.1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" strokecolor="#005eb8 [3204]" strokeweight=".5pt">
              <v:stroke joinstyle="miter"/>
            </v:line>
          </w:pict>
        </mc:Fallback>
      </mc:AlternateContent>
    </w:r>
    <w:r w:rsidR="0093558C">
      <w:rPr>
        <w:rFonts w:cs="Noto Sans"/>
        <w:color w:val="005EB8"/>
        <w:sz w:val="22"/>
        <w:szCs w:val="32"/>
        <w:lang w:val="en-US"/>
      </w:rPr>
      <w:tab/>
    </w:r>
  </w:p>
  <w:p w14:paraId="70A1B685" w14:textId="2BEBBFC0" w:rsidR="003101D3" w:rsidRPr="0093558C" w:rsidRDefault="003101D3">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0B459" w14:textId="710D5A69" w:rsidR="007663EA" w:rsidRDefault="00984513" w:rsidP="001920DD">
    <w:pPr>
      <w:pStyle w:val="Header"/>
    </w:pPr>
    <w:r w:rsidRPr="0093558C">
      <w:rPr>
        <w:rFonts w:cs="Noto Sans"/>
        <w:noProof/>
        <w:color w:val="005EB8"/>
        <w:sz w:val="22"/>
        <w:szCs w:val="32"/>
        <w:lang w:val="en-US"/>
      </w:rPr>
      <mc:AlternateContent>
        <mc:Choice Requires="wps">
          <w:drawing>
            <wp:anchor distT="0" distB="0" distL="114300" distR="114300" simplePos="0" relativeHeight="251658243" behindDoc="0" locked="0" layoutInCell="1" allowOverlap="1" wp14:anchorId="14591667" wp14:editId="6344B756">
              <wp:simplePos x="0" y="0"/>
              <wp:positionH relativeFrom="column">
                <wp:posOffset>-1333379</wp:posOffset>
              </wp:positionH>
              <wp:positionV relativeFrom="paragraph">
                <wp:posOffset>108585</wp:posOffset>
              </wp:positionV>
              <wp:extent cx="15113000" cy="0"/>
              <wp:effectExtent l="0" t="0" r="0" b="0"/>
              <wp:wrapNone/>
              <wp:docPr id="262110453"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9F0871" id="Straight Connector 1"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8.55pt" to="108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" strokecolor="#005eb8 [3204]" strokeweight=".5pt">
              <v:stroke joinstyle="miter"/>
            </v:line>
          </w:pict>
        </mc:Fallback>
      </mc:AlternateContent>
    </w:r>
    <w:r w:rsidR="00AD517F">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16EA968"/>
    <w:lvl w:ilvl="0">
      <w:start w:val="1"/>
      <w:numFmt w:val="bullet"/>
      <w:pStyle w:val="ListBullet2"/>
      <w:lvlText w:val="–"/>
      <w:lvlJc w:val="left"/>
      <w:pPr>
        <w:ind w:left="717" w:hanging="360"/>
      </w:pPr>
      <w:rPr>
        <w:rFonts w:ascii="Arial" w:hAnsi="Arial" w:hint="default"/>
        <w:b w:val="0"/>
        <w:i w:val="0"/>
        <w:sz w:val="20"/>
      </w:rPr>
    </w:lvl>
  </w:abstractNum>
  <w:abstractNum w:abstractNumId="1" w15:restartNumberingAfterBreak="0">
    <w:nsid w:val="FFFFFF89"/>
    <w:multiLevelType w:val="singleLevel"/>
    <w:tmpl w:val="3228AA1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1DE4458"/>
    <w:multiLevelType w:val="multilevel"/>
    <w:tmpl w:val="5380B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71364E"/>
    <w:multiLevelType w:val="hybridMultilevel"/>
    <w:tmpl w:val="F3A46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4468C1"/>
    <w:multiLevelType w:val="hybridMultilevel"/>
    <w:tmpl w:val="0D606C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FEE4B27"/>
    <w:multiLevelType w:val="hybridMultilevel"/>
    <w:tmpl w:val="A3488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06B1361"/>
    <w:multiLevelType w:val="hybridMultilevel"/>
    <w:tmpl w:val="56709B9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7F6122"/>
    <w:multiLevelType w:val="hybridMultilevel"/>
    <w:tmpl w:val="4A7CDBF4"/>
    <w:lvl w:ilvl="0" w:tplc="0C09000F">
      <w:start w:val="1"/>
      <w:numFmt w:val="decimal"/>
      <w:lvlText w:val="%1."/>
      <w:lvlJc w:val="left"/>
      <w:pPr>
        <w:ind w:left="1262" w:hanging="360"/>
      </w:pPr>
    </w:lvl>
    <w:lvl w:ilvl="1" w:tplc="0C090019" w:tentative="1">
      <w:start w:val="1"/>
      <w:numFmt w:val="lowerLetter"/>
      <w:lvlText w:val="%2."/>
      <w:lvlJc w:val="left"/>
      <w:pPr>
        <w:ind w:left="1982" w:hanging="360"/>
      </w:pPr>
    </w:lvl>
    <w:lvl w:ilvl="2" w:tplc="0C09001B" w:tentative="1">
      <w:start w:val="1"/>
      <w:numFmt w:val="lowerRoman"/>
      <w:lvlText w:val="%3."/>
      <w:lvlJc w:val="right"/>
      <w:pPr>
        <w:ind w:left="2702" w:hanging="180"/>
      </w:pPr>
    </w:lvl>
    <w:lvl w:ilvl="3" w:tplc="0C09000F" w:tentative="1">
      <w:start w:val="1"/>
      <w:numFmt w:val="decimal"/>
      <w:lvlText w:val="%4."/>
      <w:lvlJc w:val="left"/>
      <w:pPr>
        <w:ind w:left="3422" w:hanging="360"/>
      </w:pPr>
    </w:lvl>
    <w:lvl w:ilvl="4" w:tplc="0C090019" w:tentative="1">
      <w:start w:val="1"/>
      <w:numFmt w:val="lowerLetter"/>
      <w:lvlText w:val="%5."/>
      <w:lvlJc w:val="left"/>
      <w:pPr>
        <w:ind w:left="4142" w:hanging="360"/>
      </w:pPr>
    </w:lvl>
    <w:lvl w:ilvl="5" w:tplc="0C09001B" w:tentative="1">
      <w:start w:val="1"/>
      <w:numFmt w:val="lowerRoman"/>
      <w:lvlText w:val="%6."/>
      <w:lvlJc w:val="right"/>
      <w:pPr>
        <w:ind w:left="4862" w:hanging="180"/>
      </w:pPr>
    </w:lvl>
    <w:lvl w:ilvl="6" w:tplc="0C09000F" w:tentative="1">
      <w:start w:val="1"/>
      <w:numFmt w:val="decimal"/>
      <w:lvlText w:val="%7."/>
      <w:lvlJc w:val="left"/>
      <w:pPr>
        <w:ind w:left="5582" w:hanging="360"/>
      </w:pPr>
    </w:lvl>
    <w:lvl w:ilvl="7" w:tplc="0C090019" w:tentative="1">
      <w:start w:val="1"/>
      <w:numFmt w:val="lowerLetter"/>
      <w:lvlText w:val="%8."/>
      <w:lvlJc w:val="left"/>
      <w:pPr>
        <w:ind w:left="6302" w:hanging="360"/>
      </w:pPr>
    </w:lvl>
    <w:lvl w:ilvl="8" w:tplc="0C09001B" w:tentative="1">
      <w:start w:val="1"/>
      <w:numFmt w:val="lowerRoman"/>
      <w:lvlText w:val="%9."/>
      <w:lvlJc w:val="right"/>
      <w:pPr>
        <w:ind w:left="7022" w:hanging="180"/>
      </w:pPr>
    </w:lvl>
  </w:abstractNum>
  <w:abstractNum w:abstractNumId="8" w15:restartNumberingAfterBreak="0">
    <w:nsid w:val="179C607E"/>
    <w:multiLevelType w:val="hybridMultilevel"/>
    <w:tmpl w:val="0EE0E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654A57"/>
    <w:multiLevelType w:val="hybridMultilevel"/>
    <w:tmpl w:val="471687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5B76EE"/>
    <w:multiLevelType w:val="hybridMultilevel"/>
    <w:tmpl w:val="9984F4E2"/>
    <w:lvl w:ilvl="0" w:tplc="44E80AE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9D206D"/>
    <w:multiLevelType w:val="hybridMultilevel"/>
    <w:tmpl w:val="437C5BD4"/>
    <w:lvl w:ilvl="0" w:tplc="937EB70E">
      <w:start w:val="1"/>
      <w:numFmt w:val="bullet"/>
      <w:lvlText w:val="•"/>
      <w:lvlJc w:val="left"/>
      <w:pPr>
        <w:ind w:left="1080" w:hanging="720"/>
      </w:pPr>
      <w:rPr>
        <w:rFonts w:ascii="Noto Sans" w:eastAsiaTheme="minorEastAsia"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712849"/>
    <w:multiLevelType w:val="hybridMultilevel"/>
    <w:tmpl w:val="5B0423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8CF5632"/>
    <w:multiLevelType w:val="multilevel"/>
    <w:tmpl w:val="520631D4"/>
    <w:lvl w:ilvl="0">
      <w:start w:val="1"/>
      <w:numFmt w:val="decimal"/>
      <w:pStyle w:val="ListNumber"/>
      <w:lvlText w:val="%1."/>
      <w:lvlJc w:val="left"/>
      <w:pPr>
        <w:ind w:left="360" w:hanging="360"/>
      </w:pPr>
      <w:rPr>
        <w:rFonts w:ascii="Arial" w:hAnsi="Arial" w:hint="default"/>
        <w:b w:val="0"/>
        <w:i w:val="0"/>
        <w:sz w:val="20"/>
        <w:u w:val="no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776D71"/>
    <w:multiLevelType w:val="hybridMultilevel"/>
    <w:tmpl w:val="D44881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5" w15:restartNumberingAfterBreak="0">
    <w:nsid w:val="381423DA"/>
    <w:multiLevelType w:val="hybridMultilevel"/>
    <w:tmpl w:val="2E444A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8FC51F5"/>
    <w:multiLevelType w:val="hybridMultilevel"/>
    <w:tmpl w:val="C15A4A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9AD4F26"/>
    <w:multiLevelType w:val="hybridMultilevel"/>
    <w:tmpl w:val="73109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C0D0265"/>
    <w:multiLevelType w:val="hybridMultilevel"/>
    <w:tmpl w:val="3C8633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5535569"/>
    <w:multiLevelType w:val="hybridMultilevel"/>
    <w:tmpl w:val="AF248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7C17C17"/>
    <w:multiLevelType w:val="hybridMultilevel"/>
    <w:tmpl w:val="981267C6"/>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83311DF"/>
    <w:multiLevelType w:val="hybridMultilevel"/>
    <w:tmpl w:val="427C1C8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DC70E6"/>
    <w:multiLevelType w:val="hybridMultilevel"/>
    <w:tmpl w:val="B23054B0"/>
    <w:lvl w:ilvl="0" w:tplc="4678DF22">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A3030F"/>
    <w:multiLevelType w:val="hybridMultilevel"/>
    <w:tmpl w:val="61D8F2F0"/>
    <w:lvl w:ilvl="0" w:tplc="B638FE34">
      <w:start w:val="1"/>
      <w:numFmt w:val="lowerLetter"/>
      <w:pStyle w:val="Listalpha"/>
      <w:lvlText w:val="%1."/>
      <w:lvlJc w:val="left"/>
      <w:pPr>
        <w:ind w:left="720" w:hanging="360"/>
      </w:pPr>
      <w:rPr>
        <w:rFonts w:ascii="Noto Sans" w:hAnsi="Noto Sans" w:hint="default"/>
        <w:b w:val="0"/>
        <w:i w:val="0"/>
        <w:color w:val="005EB8"/>
        <w:sz w:val="18"/>
        <w:u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CDF4D87"/>
    <w:multiLevelType w:val="hybridMultilevel"/>
    <w:tmpl w:val="FDDC68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F0F2F3E"/>
    <w:multiLevelType w:val="hybridMultilevel"/>
    <w:tmpl w:val="567687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AE4367B"/>
    <w:multiLevelType w:val="hybridMultilevel"/>
    <w:tmpl w:val="98BA9D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640C6653"/>
    <w:multiLevelType w:val="hybridMultilevel"/>
    <w:tmpl w:val="919E08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C986034"/>
    <w:multiLevelType w:val="hybridMultilevel"/>
    <w:tmpl w:val="EF2AB874"/>
    <w:lvl w:ilvl="0" w:tplc="0AD85BD4">
      <w:start w:val="1"/>
      <w:numFmt w:val="bullet"/>
      <w:pStyle w:val="ListBulletIndent"/>
      <w:lvlText w:val=""/>
      <w:lvlJc w:val="left"/>
      <w:pPr>
        <w:ind w:left="1077" w:hanging="360"/>
      </w:pPr>
      <w:rPr>
        <w:rFonts w:ascii="Symbol" w:hAnsi="Symbol" w:hint="default"/>
        <w:b/>
        <w:i w:val="0"/>
        <w:color w:val="005EB8"/>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6CA96A22"/>
    <w:multiLevelType w:val="hybridMultilevel"/>
    <w:tmpl w:val="CA522B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5660D61"/>
    <w:multiLevelType w:val="hybridMultilevel"/>
    <w:tmpl w:val="E70EB4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4741615">
    <w:abstractNumId w:val="3"/>
  </w:num>
  <w:num w:numId="2" w16cid:durableId="1846749423">
    <w:abstractNumId w:val="9"/>
  </w:num>
  <w:num w:numId="3" w16cid:durableId="1898003824">
    <w:abstractNumId w:val="1"/>
  </w:num>
  <w:num w:numId="4" w16cid:durableId="1508710585">
    <w:abstractNumId w:val="0"/>
  </w:num>
  <w:num w:numId="5" w16cid:durableId="1764110530">
    <w:abstractNumId w:val="13"/>
  </w:num>
  <w:num w:numId="6" w16cid:durableId="403115210">
    <w:abstractNumId w:val="23"/>
  </w:num>
  <w:num w:numId="7" w16cid:durableId="901137681">
    <w:abstractNumId w:val="5"/>
  </w:num>
  <w:num w:numId="8" w16cid:durableId="1035353686">
    <w:abstractNumId w:val="26"/>
  </w:num>
  <w:num w:numId="9" w16cid:durableId="1841580297">
    <w:abstractNumId w:val="21"/>
  </w:num>
  <w:num w:numId="10" w16cid:durableId="1695228649">
    <w:abstractNumId w:val="25"/>
  </w:num>
  <w:num w:numId="11" w16cid:durableId="1386177241">
    <w:abstractNumId w:val="27"/>
  </w:num>
  <w:num w:numId="12" w16cid:durableId="1485318839">
    <w:abstractNumId w:val="7"/>
  </w:num>
  <w:num w:numId="13" w16cid:durableId="832182826">
    <w:abstractNumId w:val="6"/>
  </w:num>
  <w:num w:numId="14" w16cid:durableId="67315282">
    <w:abstractNumId w:val="19"/>
  </w:num>
  <w:num w:numId="15" w16cid:durableId="1266115890">
    <w:abstractNumId w:val="16"/>
  </w:num>
  <w:num w:numId="16" w16cid:durableId="1895653814">
    <w:abstractNumId w:val="8"/>
  </w:num>
  <w:num w:numId="17" w16cid:durableId="400949338">
    <w:abstractNumId w:val="29"/>
  </w:num>
  <w:num w:numId="18" w16cid:durableId="36122453">
    <w:abstractNumId w:val="14"/>
  </w:num>
  <w:num w:numId="19" w16cid:durableId="1038748206">
    <w:abstractNumId w:val="2"/>
  </w:num>
  <w:num w:numId="20" w16cid:durableId="686062853">
    <w:abstractNumId w:val="28"/>
  </w:num>
  <w:num w:numId="21" w16cid:durableId="880168737">
    <w:abstractNumId w:val="30"/>
  </w:num>
  <w:num w:numId="22" w16cid:durableId="1512573093">
    <w:abstractNumId w:val="20"/>
  </w:num>
  <w:num w:numId="23" w16cid:durableId="2099400891">
    <w:abstractNumId w:val="22"/>
  </w:num>
  <w:num w:numId="24" w16cid:durableId="1907179491">
    <w:abstractNumId w:val="12"/>
  </w:num>
  <w:num w:numId="25" w16cid:durableId="1346908277">
    <w:abstractNumId w:val="10"/>
  </w:num>
  <w:num w:numId="26" w16cid:durableId="434598857">
    <w:abstractNumId w:val="11"/>
  </w:num>
  <w:num w:numId="27" w16cid:durableId="312759963">
    <w:abstractNumId w:val="17"/>
  </w:num>
  <w:num w:numId="28" w16cid:durableId="1549099848">
    <w:abstractNumId w:val="4"/>
  </w:num>
  <w:num w:numId="29" w16cid:durableId="1374118973">
    <w:abstractNumId w:val="18"/>
  </w:num>
  <w:num w:numId="30" w16cid:durableId="944070486">
    <w:abstractNumId w:val="15"/>
  </w:num>
  <w:num w:numId="31" w16cid:durableId="94916264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DD7"/>
    <w:rsid w:val="00000BCA"/>
    <w:rsid w:val="000017EE"/>
    <w:rsid w:val="00005BD8"/>
    <w:rsid w:val="0001370B"/>
    <w:rsid w:val="00013DA6"/>
    <w:rsid w:val="000149AC"/>
    <w:rsid w:val="000315DB"/>
    <w:rsid w:val="000375D7"/>
    <w:rsid w:val="00041B00"/>
    <w:rsid w:val="00051685"/>
    <w:rsid w:val="0005350D"/>
    <w:rsid w:val="00056232"/>
    <w:rsid w:val="00062138"/>
    <w:rsid w:val="00074684"/>
    <w:rsid w:val="00074FA8"/>
    <w:rsid w:val="00090A85"/>
    <w:rsid w:val="00090DED"/>
    <w:rsid w:val="000914B6"/>
    <w:rsid w:val="000946EF"/>
    <w:rsid w:val="000B0A57"/>
    <w:rsid w:val="000B51E5"/>
    <w:rsid w:val="000C6917"/>
    <w:rsid w:val="000D0A64"/>
    <w:rsid w:val="000D2FD7"/>
    <w:rsid w:val="000D4D53"/>
    <w:rsid w:val="000D7927"/>
    <w:rsid w:val="000E3C1E"/>
    <w:rsid w:val="000E411F"/>
    <w:rsid w:val="000E628A"/>
    <w:rsid w:val="000E67B4"/>
    <w:rsid w:val="00102B1D"/>
    <w:rsid w:val="00113EF1"/>
    <w:rsid w:val="00123576"/>
    <w:rsid w:val="001419D1"/>
    <w:rsid w:val="00142AC1"/>
    <w:rsid w:val="00143CBA"/>
    <w:rsid w:val="00150557"/>
    <w:rsid w:val="0016468A"/>
    <w:rsid w:val="00172A45"/>
    <w:rsid w:val="00173294"/>
    <w:rsid w:val="00177911"/>
    <w:rsid w:val="00183C82"/>
    <w:rsid w:val="001920DD"/>
    <w:rsid w:val="00193786"/>
    <w:rsid w:val="00197C5B"/>
    <w:rsid w:val="001A4972"/>
    <w:rsid w:val="001A68B6"/>
    <w:rsid w:val="001A6B0B"/>
    <w:rsid w:val="001B0E4D"/>
    <w:rsid w:val="001B130C"/>
    <w:rsid w:val="001C3490"/>
    <w:rsid w:val="001D6395"/>
    <w:rsid w:val="001D7892"/>
    <w:rsid w:val="001E3D7B"/>
    <w:rsid w:val="001E5450"/>
    <w:rsid w:val="001F1892"/>
    <w:rsid w:val="001F299E"/>
    <w:rsid w:val="001F577D"/>
    <w:rsid w:val="00207658"/>
    <w:rsid w:val="00221D54"/>
    <w:rsid w:val="00224DE3"/>
    <w:rsid w:val="00227248"/>
    <w:rsid w:val="002327ED"/>
    <w:rsid w:val="00234AA1"/>
    <w:rsid w:val="00235C3D"/>
    <w:rsid w:val="00237F42"/>
    <w:rsid w:val="00246744"/>
    <w:rsid w:val="00250FDD"/>
    <w:rsid w:val="0025288B"/>
    <w:rsid w:val="00253634"/>
    <w:rsid w:val="00253CF8"/>
    <w:rsid w:val="002545EA"/>
    <w:rsid w:val="002617D1"/>
    <w:rsid w:val="00262EAD"/>
    <w:rsid w:val="002647A7"/>
    <w:rsid w:val="002679BB"/>
    <w:rsid w:val="00267F18"/>
    <w:rsid w:val="00273CAC"/>
    <w:rsid w:val="00274824"/>
    <w:rsid w:val="00274CD6"/>
    <w:rsid w:val="00275BC6"/>
    <w:rsid w:val="00285C1A"/>
    <w:rsid w:val="002868B0"/>
    <w:rsid w:val="00287721"/>
    <w:rsid w:val="002963AF"/>
    <w:rsid w:val="00297919"/>
    <w:rsid w:val="002A706A"/>
    <w:rsid w:val="002B1F22"/>
    <w:rsid w:val="002B225A"/>
    <w:rsid w:val="002B5C98"/>
    <w:rsid w:val="002F676B"/>
    <w:rsid w:val="00304C16"/>
    <w:rsid w:val="003101D3"/>
    <w:rsid w:val="003213A2"/>
    <w:rsid w:val="003318D6"/>
    <w:rsid w:val="00331A30"/>
    <w:rsid w:val="003320C9"/>
    <w:rsid w:val="003358AA"/>
    <w:rsid w:val="003374F9"/>
    <w:rsid w:val="0034055E"/>
    <w:rsid w:val="003435C3"/>
    <w:rsid w:val="003646E6"/>
    <w:rsid w:val="00364D78"/>
    <w:rsid w:val="00375289"/>
    <w:rsid w:val="0039553D"/>
    <w:rsid w:val="003A6863"/>
    <w:rsid w:val="003A6F34"/>
    <w:rsid w:val="003B0D08"/>
    <w:rsid w:val="003B2B83"/>
    <w:rsid w:val="003B36F2"/>
    <w:rsid w:val="003C06D8"/>
    <w:rsid w:val="003E736F"/>
    <w:rsid w:val="004032FB"/>
    <w:rsid w:val="00404D93"/>
    <w:rsid w:val="004073C4"/>
    <w:rsid w:val="004171D1"/>
    <w:rsid w:val="0042214D"/>
    <w:rsid w:val="00425356"/>
    <w:rsid w:val="00436653"/>
    <w:rsid w:val="00437BCB"/>
    <w:rsid w:val="00445F99"/>
    <w:rsid w:val="004540A9"/>
    <w:rsid w:val="004542F2"/>
    <w:rsid w:val="004669F6"/>
    <w:rsid w:val="0046758B"/>
    <w:rsid w:val="00471A57"/>
    <w:rsid w:val="00475267"/>
    <w:rsid w:val="004872D4"/>
    <w:rsid w:val="004B07F8"/>
    <w:rsid w:val="004B5D20"/>
    <w:rsid w:val="004C16BC"/>
    <w:rsid w:val="004C276F"/>
    <w:rsid w:val="004C4D51"/>
    <w:rsid w:val="004C7949"/>
    <w:rsid w:val="004D2FD6"/>
    <w:rsid w:val="004E1BDA"/>
    <w:rsid w:val="004F6B12"/>
    <w:rsid w:val="00501140"/>
    <w:rsid w:val="00502972"/>
    <w:rsid w:val="00503970"/>
    <w:rsid w:val="005057E6"/>
    <w:rsid w:val="005126C3"/>
    <w:rsid w:val="00513262"/>
    <w:rsid w:val="005211B7"/>
    <w:rsid w:val="00521CA3"/>
    <w:rsid w:val="0052309D"/>
    <w:rsid w:val="00537BED"/>
    <w:rsid w:val="00541FE2"/>
    <w:rsid w:val="00542FB2"/>
    <w:rsid w:val="005500E5"/>
    <w:rsid w:val="00562038"/>
    <w:rsid w:val="00573B60"/>
    <w:rsid w:val="00574381"/>
    <w:rsid w:val="005749B5"/>
    <w:rsid w:val="00581E47"/>
    <w:rsid w:val="00583AB0"/>
    <w:rsid w:val="00585E27"/>
    <w:rsid w:val="00591684"/>
    <w:rsid w:val="00595A93"/>
    <w:rsid w:val="00595F41"/>
    <w:rsid w:val="005B6502"/>
    <w:rsid w:val="005C0914"/>
    <w:rsid w:val="005C0C98"/>
    <w:rsid w:val="005C442B"/>
    <w:rsid w:val="005C6DAE"/>
    <w:rsid w:val="005E08E7"/>
    <w:rsid w:val="005E4F8C"/>
    <w:rsid w:val="005E6EC6"/>
    <w:rsid w:val="005F4788"/>
    <w:rsid w:val="005F49BF"/>
    <w:rsid w:val="00602293"/>
    <w:rsid w:val="0061166F"/>
    <w:rsid w:val="00621E8E"/>
    <w:rsid w:val="00630356"/>
    <w:rsid w:val="006311A8"/>
    <w:rsid w:val="006331EF"/>
    <w:rsid w:val="0064098E"/>
    <w:rsid w:val="00652652"/>
    <w:rsid w:val="00660463"/>
    <w:rsid w:val="006729E8"/>
    <w:rsid w:val="00673A3C"/>
    <w:rsid w:val="00676642"/>
    <w:rsid w:val="00676670"/>
    <w:rsid w:val="00686F2B"/>
    <w:rsid w:val="00697CD4"/>
    <w:rsid w:val="006B3435"/>
    <w:rsid w:val="006B7687"/>
    <w:rsid w:val="006D3CED"/>
    <w:rsid w:val="006D651E"/>
    <w:rsid w:val="006E1817"/>
    <w:rsid w:val="00703354"/>
    <w:rsid w:val="007063A0"/>
    <w:rsid w:val="007076B4"/>
    <w:rsid w:val="00710CAD"/>
    <w:rsid w:val="00712B61"/>
    <w:rsid w:val="00714C54"/>
    <w:rsid w:val="007204DE"/>
    <w:rsid w:val="00720775"/>
    <w:rsid w:val="0073587E"/>
    <w:rsid w:val="007370FD"/>
    <w:rsid w:val="007448DF"/>
    <w:rsid w:val="00745D92"/>
    <w:rsid w:val="00747F2E"/>
    <w:rsid w:val="00750D5A"/>
    <w:rsid w:val="00756E7A"/>
    <w:rsid w:val="00757092"/>
    <w:rsid w:val="00757B88"/>
    <w:rsid w:val="007609B1"/>
    <w:rsid w:val="00764D7D"/>
    <w:rsid w:val="007663EA"/>
    <w:rsid w:val="00772DAC"/>
    <w:rsid w:val="00775AF3"/>
    <w:rsid w:val="00777677"/>
    <w:rsid w:val="00782B7F"/>
    <w:rsid w:val="007832C4"/>
    <w:rsid w:val="00784783"/>
    <w:rsid w:val="007A4FCA"/>
    <w:rsid w:val="007A6382"/>
    <w:rsid w:val="007A7F37"/>
    <w:rsid w:val="007C2C35"/>
    <w:rsid w:val="007C3BAA"/>
    <w:rsid w:val="007D16E2"/>
    <w:rsid w:val="007D4342"/>
    <w:rsid w:val="007E3623"/>
    <w:rsid w:val="007E4686"/>
    <w:rsid w:val="007F3A23"/>
    <w:rsid w:val="007F52B5"/>
    <w:rsid w:val="00803322"/>
    <w:rsid w:val="0080700B"/>
    <w:rsid w:val="00825313"/>
    <w:rsid w:val="00831FEB"/>
    <w:rsid w:val="00834D08"/>
    <w:rsid w:val="008421A2"/>
    <w:rsid w:val="00842795"/>
    <w:rsid w:val="0084774A"/>
    <w:rsid w:val="008535D4"/>
    <w:rsid w:val="00855B73"/>
    <w:rsid w:val="00860F80"/>
    <w:rsid w:val="0086294C"/>
    <w:rsid w:val="008641A5"/>
    <w:rsid w:val="00865600"/>
    <w:rsid w:val="0087776F"/>
    <w:rsid w:val="00877908"/>
    <w:rsid w:val="00881549"/>
    <w:rsid w:val="00885587"/>
    <w:rsid w:val="0088599C"/>
    <w:rsid w:val="008859CF"/>
    <w:rsid w:val="00892E49"/>
    <w:rsid w:val="008937F5"/>
    <w:rsid w:val="00896055"/>
    <w:rsid w:val="008B4BC6"/>
    <w:rsid w:val="008B5849"/>
    <w:rsid w:val="008B67EB"/>
    <w:rsid w:val="008B72A9"/>
    <w:rsid w:val="008C1C71"/>
    <w:rsid w:val="008C4EA4"/>
    <w:rsid w:val="008C7118"/>
    <w:rsid w:val="008D4050"/>
    <w:rsid w:val="008D440E"/>
    <w:rsid w:val="008D58CE"/>
    <w:rsid w:val="008E170B"/>
    <w:rsid w:val="008E77DF"/>
    <w:rsid w:val="008F56CB"/>
    <w:rsid w:val="008F720D"/>
    <w:rsid w:val="008F7626"/>
    <w:rsid w:val="008F7DDB"/>
    <w:rsid w:val="00902D21"/>
    <w:rsid w:val="00902DF1"/>
    <w:rsid w:val="0090608B"/>
    <w:rsid w:val="0091044D"/>
    <w:rsid w:val="009123B9"/>
    <w:rsid w:val="00912D35"/>
    <w:rsid w:val="0093024C"/>
    <w:rsid w:val="00935109"/>
    <w:rsid w:val="0093558C"/>
    <w:rsid w:val="009358F7"/>
    <w:rsid w:val="009376F4"/>
    <w:rsid w:val="0094479E"/>
    <w:rsid w:val="00947F7C"/>
    <w:rsid w:val="00952345"/>
    <w:rsid w:val="00955163"/>
    <w:rsid w:val="009663D8"/>
    <w:rsid w:val="009724FC"/>
    <w:rsid w:val="00973606"/>
    <w:rsid w:val="0097392E"/>
    <w:rsid w:val="00976398"/>
    <w:rsid w:val="009812E1"/>
    <w:rsid w:val="009830BC"/>
    <w:rsid w:val="00983FF0"/>
    <w:rsid w:val="00984513"/>
    <w:rsid w:val="009875EC"/>
    <w:rsid w:val="0099264D"/>
    <w:rsid w:val="009A16B7"/>
    <w:rsid w:val="009B1EE6"/>
    <w:rsid w:val="009B273A"/>
    <w:rsid w:val="009C4FB3"/>
    <w:rsid w:val="009C50FB"/>
    <w:rsid w:val="009C6257"/>
    <w:rsid w:val="009C7AFB"/>
    <w:rsid w:val="009E359B"/>
    <w:rsid w:val="009E4594"/>
    <w:rsid w:val="009E5188"/>
    <w:rsid w:val="009F0061"/>
    <w:rsid w:val="009F31DB"/>
    <w:rsid w:val="009F3F00"/>
    <w:rsid w:val="009F76B7"/>
    <w:rsid w:val="00A015E5"/>
    <w:rsid w:val="00A034AB"/>
    <w:rsid w:val="00A0643A"/>
    <w:rsid w:val="00A107FA"/>
    <w:rsid w:val="00A148EE"/>
    <w:rsid w:val="00A14DBB"/>
    <w:rsid w:val="00A21822"/>
    <w:rsid w:val="00A313EB"/>
    <w:rsid w:val="00A314CB"/>
    <w:rsid w:val="00A3310B"/>
    <w:rsid w:val="00A41092"/>
    <w:rsid w:val="00A52B4B"/>
    <w:rsid w:val="00A532DA"/>
    <w:rsid w:val="00A5400D"/>
    <w:rsid w:val="00A56AF5"/>
    <w:rsid w:val="00A6046F"/>
    <w:rsid w:val="00A62773"/>
    <w:rsid w:val="00A70A59"/>
    <w:rsid w:val="00A80336"/>
    <w:rsid w:val="00A8049C"/>
    <w:rsid w:val="00A816AA"/>
    <w:rsid w:val="00A95AD2"/>
    <w:rsid w:val="00AA5C95"/>
    <w:rsid w:val="00AB433E"/>
    <w:rsid w:val="00AB4742"/>
    <w:rsid w:val="00AB5F45"/>
    <w:rsid w:val="00AB7BC6"/>
    <w:rsid w:val="00AD517F"/>
    <w:rsid w:val="00AD5957"/>
    <w:rsid w:val="00AD6735"/>
    <w:rsid w:val="00B01872"/>
    <w:rsid w:val="00B14A52"/>
    <w:rsid w:val="00B22CD9"/>
    <w:rsid w:val="00B24187"/>
    <w:rsid w:val="00B254ED"/>
    <w:rsid w:val="00B36C7F"/>
    <w:rsid w:val="00B40D00"/>
    <w:rsid w:val="00B6031B"/>
    <w:rsid w:val="00B6247C"/>
    <w:rsid w:val="00B63518"/>
    <w:rsid w:val="00B66569"/>
    <w:rsid w:val="00B737E8"/>
    <w:rsid w:val="00B759C0"/>
    <w:rsid w:val="00B807E3"/>
    <w:rsid w:val="00B87884"/>
    <w:rsid w:val="00B960C2"/>
    <w:rsid w:val="00B962B4"/>
    <w:rsid w:val="00BA1E8B"/>
    <w:rsid w:val="00BA48FD"/>
    <w:rsid w:val="00BA5A1F"/>
    <w:rsid w:val="00BB408F"/>
    <w:rsid w:val="00BC13B5"/>
    <w:rsid w:val="00BC19A3"/>
    <w:rsid w:val="00BD264E"/>
    <w:rsid w:val="00BD277D"/>
    <w:rsid w:val="00BD2864"/>
    <w:rsid w:val="00BD39F3"/>
    <w:rsid w:val="00BF04B5"/>
    <w:rsid w:val="00BF10D1"/>
    <w:rsid w:val="00C02A81"/>
    <w:rsid w:val="00C0584B"/>
    <w:rsid w:val="00C10840"/>
    <w:rsid w:val="00C25F31"/>
    <w:rsid w:val="00C26B34"/>
    <w:rsid w:val="00C33FFB"/>
    <w:rsid w:val="00C43B65"/>
    <w:rsid w:val="00C45058"/>
    <w:rsid w:val="00C50692"/>
    <w:rsid w:val="00C54B6A"/>
    <w:rsid w:val="00C64877"/>
    <w:rsid w:val="00C71685"/>
    <w:rsid w:val="00C73D3A"/>
    <w:rsid w:val="00C8443D"/>
    <w:rsid w:val="00C9240D"/>
    <w:rsid w:val="00C95524"/>
    <w:rsid w:val="00C9609E"/>
    <w:rsid w:val="00CA0370"/>
    <w:rsid w:val="00CA0FCE"/>
    <w:rsid w:val="00CA4761"/>
    <w:rsid w:val="00CB59D1"/>
    <w:rsid w:val="00CB6CA5"/>
    <w:rsid w:val="00CB7E9C"/>
    <w:rsid w:val="00CC1775"/>
    <w:rsid w:val="00CC186A"/>
    <w:rsid w:val="00CC42BD"/>
    <w:rsid w:val="00CD5E03"/>
    <w:rsid w:val="00CD69A6"/>
    <w:rsid w:val="00CD790C"/>
    <w:rsid w:val="00CE0493"/>
    <w:rsid w:val="00CE193C"/>
    <w:rsid w:val="00CE3B17"/>
    <w:rsid w:val="00CF360E"/>
    <w:rsid w:val="00CF6C61"/>
    <w:rsid w:val="00D04983"/>
    <w:rsid w:val="00D058EB"/>
    <w:rsid w:val="00D061C9"/>
    <w:rsid w:val="00D06832"/>
    <w:rsid w:val="00D0693C"/>
    <w:rsid w:val="00D2011A"/>
    <w:rsid w:val="00D20D65"/>
    <w:rsid w:val="00D2740D"/>
    <w:rsid w:val="00D278B2"/>
    <w:rsid w:val="00D318C0"/>
    <w:rsid w:val="00D32A8A"/>
    <w:rsid w:val="00D34002"/>
    <w:rsid w:val="00D37B8C"/>
    <w:rsid w:val="00D401C2"/>
    <w:rsid w:val="00D45D10"/>
    <w:rsid w:val="00D466FC"/>
    <w:rsid w:val="00D53A10"/>
    <w:rsid w:val="00D55456"/>
    <w:rsid w:val="00D55D20"/>
    <w:rsid w:val="00D6012A"/>
    <w:rsid w:val="00D630ED"/>
    <w:rsid w:val="00D63E8E"/>
    <w:rsid w:val="00D670C2"/>
    <w:rsid w:val="00D70FE3"/>
    <w:rsid w:val="00D76C99"/>
    <w:rsid w:val="00D879D1"/>
    <w:rsid w:val="00D93D9F"/>
    <w:rsid w:val="00D94659"/>
    <w:rsid w:val="00DA4073"/>
    <w:rsid w:val="00DA5B36"/>
    <w:rsid w:val="00DC28C0"/>
    <w:rsid w:val="00DD07DC"/>
    <w:rsid w:val="00DD0C7B"/>
    <w:rsid w:val="00DD652E"/>
    <w:rsid w:val="00DD7738"/>
    <w:rsid w:val="00DE5637"/>
    <w:rsid w:val="00DF054E"/>
    <w:rsid w:val="00DF2661"/>
    <w:rsid w:val="00DF399E"/>
    <w:rsid w:val="00DF430A"/>
    <w:rsid w:val="00DF58EB"/>
    <w:rsid w:val="00E00DC2"/>
    <w:rsid w:val="00E0121C"/>
    <w:rsid w:val="00E07B39"/>
    <w:rsid w:val="00E1479A"/>
    <w:rsid w:val="00E14F2E"/>
    <w:rsid w:val="00E17244"/>
    <w:rsid w:val="00E362D6"/>
    <w:rsid w:val="00E4628D"/>
    <w:rsid w:val="00E5131B"/>
    <w:rsid w:val="00E53DAB"/>
    <w:rsid w:val="00E54DD7"/>
    <w:rsid w:val="00E61690"/>
    <w:rsid w:val="00E62BA7"/>
    <w:rsid w:val="00E668E5"/>
    <w:rsid w:val="00E66F02"/>
    <w:rsid w:val="00E76507"/>
    <w:rsid w:val="00E76DAC"/>
    <w:rsid w:val="00E7713E"/>
    <w:rsid w:val="00E772E5"/>
    <w:rsid w:val="00E8547E"/>
    <w:rsid w:val="00E871A2"/>
    <w:rsid w:val="00EB612B"/>
    <w:rsid w:val="00EB7A14"/>
    <w:rsid w:val="00EC2EA5"/>
    <w:rsid w:val="00EE0E40"/>
    <w:rsid w:val="00EE2469"/>
    <w:rsid w:val="00EE5410"/>
    <w:rsid w:val="00EE64C8"/>
    <w:rsid w:val="00EF1D96"/>
    <w:rsid w:val="00F03D11"/>
    <w:rsid w:val="00F0413B"/>
    <w:rsid w:val="00F0572E"/>
    <w:rsid w:val="00F14538"/>
    <w:rsid w:val="00F17264"/>
    <w:rsid w:val="00F203F1"/>
    <w:rsid w:val="00F22C0E"/>
    <w:rsid w:val="00F24535"/>
    <w:rsid w:val="00F32EA5"/>
    <w:rsid w:val="00F34417"/>
    <w:rsid w:val="00F345FE"/>
    <w:rsid w:val="00F57082"/>
    <w:rsid w:val="00F64966"/>
    <w:rsid w:val="00F71ED1"/>
    <w:rsid w:val="00F7334F"/>
    <w:rsid w:val="00F81A22"/>
    <w:rsid w:val="00F90A98"/>
    <w:rsid w:val="00FA2C53"/>
    <w:rsid w:val="00FA3161"/>
    <w:rsid w:val="00FA3609"/>
    <w:rsid w:val="00FA5843"/>
    <w:rsid w:val="00FB422C"/>
    <w:rsid w:val="00FB4532"/>
    <w:rsid w:val="00FB5197"/>
    <w:rsid w:val="00FB6F3E"/>
    <w:rsid w:val="00FC2F6F"/>
    <w:rsid w:val="00FC729C"/>
    <w:rsid w:val="00FD776C"/>
    <w:rsid w:val="00FE4A0B"/>
    <w:rsid w:val="00FE4DCF"/>
    <w:rsid w:val="00FF07C4"/>
    <w:rsid w:val="00FF2B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8A5CD"/>
  <w15:docId w15:val="{EA1C4E97-E3F7-47C6-8922-A155F8924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lsdException w:name="List Number" w:uiPriority="10"/>
    <w:lsdException w:name="List 2" w:semiHidden="1" w:unhideWhenUsed="1"/>
    <w:lsdException w:name="List 3" w:semiHidden="1" w:unhideWhenUsed="1"/>
    <w:lsdException w:name="List Bullet 2"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Copy"/>
    <w:qFormat/>
    <w:rsid w:val="000D2FD7"/>
    <w:pPr>
      <w:spacing w:after="120"/>
    </w:pPr>
    <w:rPr>
      <w:rFonts w:ascii="Noto Sans" w:hAnsi="Noto Sans"/>
      <w:color w:val="151515" w:themeColor="background2" w:themeShade="1A"/>
      <w:sz w:val="18"/>
      <w:lang w:val="en-AU" w:eastAsia="en-US"/>
    </w:rPr>
  </w:style>
  <w:style w:type="paragraph" w:styleId="Heading1">
    <w:name w:val="heading 1"/>
    <w:basedOn w:val="Normal"/>
    <w:next w:val="Normal"/>
    <w:link w:val="Heading1Char"/>
    <w:qFormat/>
    <w:rsid w:val="007204DE"/>
    <w:pPr>
      <w:keepNext/>
      <w:outlineLvl w:val="0"/>
    </w:pPr>
    <w:rPr>
      <w:color w:val="005EB8" w:themeColor="accent1"/>
      <w:kern w:val="32"/>
      <w:sz w:val="48"/>
      <w:szCs w:val="32"/>
    </w:rPr>
  </w:style>
  <w:style w:type="paragraph" w:styleId="Heading2">
    <w:name w:val="heading 2"/>
    <w:basedOn w:val="Normal"/>
    <w:next w:val="Normal"/>
    <w:link w:val="Heading2Char"/>
    <w:qFormat/>
    <w:rsid w:val="007204DE"/>
    <w:pPr>
      <w:spacing w:before="240" w:after="160"/>
      <w:outlineLvl w:val="1"/>
    </w:pPr>
    <w:rPr>
      <w:b/>
      <w:color w:val="005EB8" w:themeColor="accent1"/>
      <w:sz w:val="32"/>
      <w:szCs w:val="36"/>
    </w:rPr>
  </w:style>
  <w:style w:type="paragraph" w:styleId="Heading3">
    <w:name w:val="heading 3"/>
    <w:basedOn w:val="Normal"/>
    <w:next w:val="Normal"/>
    <w:qFormat/>
    <w:rsid w:val="007204DE"/>
    <w:pPr>
      <w:spacing w:before="240" w:after="160"/>
      <w:outlineLvl w:val="2"/>
    </w:pPr>
    <w:rPr>
      <w:color w:val="002E5C"/>
      <w:sz w:val="28"/>
      <w:szCs w:val="28"/>
    </w:rPr>
  </w:style>
  <w:style w:type="paragraph" w:styleId="Heading4">
    <w:name w:val="heading 4"/>
    <w:basedOn w:val="Normal"/>
    <w:next w:val="Normal"/>
    <w:link w:val="Heading4Char"/>
    <w:semiHidden/>
    <w:unhideWhenUsed/>
    <w:qFormat/>
    <w:rsid w:val="00A14DBB"/>
    <w:pPr>
      <w:keepNext/>
      <w:keepLines/>
      <w:spacing w:before="40" w:after="0"/>
      <w:outlineLvl w:val="3"/>
    </w:pPr>
    <w:rPr>
      <w:rFonts w:asciiTheme="majorHAnsi" w:eastAsiaTheme="majorEastAsia" w:hAnsiTheme="majorHAnsi" w:cstheme="majorBidi"/>
      <w:i/>
      <w:iCs/>
      <w:color w:val="004689"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locked/>
    <w:rsid w:val="000D7252"/>
    <w:pPr>
      <w:tabs>
        <w:tab w:val="center" w:pos="4153"/>
        <w:tab w:val="right" w:pos="8306"/>
      </w:tabs>
    </w:pPr>
  </w:style>
  <w:style w:type="paragraph" w:styleId="Footer">
    <w:name w:val="footer"/>
    <w:basedOn w:val="Normal"/>
    <w:link w:val="FooterChar"/>
    <w:uiPriority w:val="99"/>
    <w:locked/>
    <w:rsid w:val="000D7252"/>
    <w:pPr>
      <w:tabs>
        <w:tab w:val="center" w:pos="4153"/>
        <w:tab w:val="right" w:pos="8306"/>
      </w:tabs>
    </w:pPr>
  </w:style>
  <w:style w:type="paragraph" w:customStyle="1" w:styleId="Reportbodytext">
    <w:name w:val="Report body text"/>
    <w:basedOn w:val="Normal"/>
    <w:rsid w:val="005B03D8"/>
    <w:rPr>
      <w:rFonts w:cs="Arial"/>
      <w:szCs w:val="24"/>
    </w:rPr>
  </w:style>
  <w:style w:type="character" w:styleId="Hyperlink">
    <w:name w:val="Hyperlink"/>
    <w:rsid w:val="00471A57"/>
    <w:rPr>
      <w:b/>
      <w:color w:val="06325E" w:themeColor="accent2"/>
      <w:u w:val="single"/>
    </w:rPr>
  </w:style>
  <w:style w:type="paragraph" w:styleId="NormalWeb">
    <w:name w:val="Normal (Web)"/>
    <w:basedOn w:val="Normal"/>
    <w:uiPriority w:val="99"/>
    <w:rsid w:val="005D6686"/>
    <w:pPr>
      <w:spacing w:before="100" w:beforeAutospacing="1" w:after="100" w:afterAutospacing="1"/>
    </w:pPr>
    <w:rPr>
      <w:rFonts w:ascii="Times New Roman" w:hAnsi="Times New Roman"/>
      <w:szCs w:val="24"/>
      <w:lang w:eastAsia="en-AU"/>
    </w:rPr>
  </w:style>
  <w:style w:type="character" w:styleId="Strong">
    <w:name w:val="Strong"/>
    <w:aliases w:val="Bold Bold Navy"/>
    <w:qFormat/>
    <w:rsid w:val="007204DE"/>
    <w:rPr>
      <w:rFonts w:ascii="Noto Sans" w:hAnsi="Noto Sans"/>
      <w:b/>
      <w:color w:val="002E5C"/>
      <w:sz w:val="18"/>
    </w:rPr>
  </w:style>
  <w:style w:type="paragraph" w:styleId="BalloonText">
    <w:name w:val="Balloon Text"/>
    <w:basedOn w:val="Normal"/>
    <w:link w:val="BalloonTextChar"/>
    <w:semiHidden/>
    <w:unhideWhenUsed/>
    <w:rsid w:val="00D630ED"/>
    <w:rPr>
      <w:rFonts w:ascii="Tahoma" w:hAnsi="Tahoma" w:cs="Tahoma"/>
      <w:sz w:val="16"/>
      <w:szCs w:val="16"/>
    </w:rPr>
  </w:style>
  <w:style w:type="character" w:customStyle="1" w:styleId="BalloonTextChar">
    <w:name w:val="Balloon Text Char"/>
    <w:basedOn w:val="DefaultParagraphFont"/>
    <w:link w:val="BalloonText"/>
    <w:semiHidden/>
    <w:rsid w:val="00D630ED"/>
    <w:rPr>
      <w:rFonts w:ascii="Tahoma" w:hAnsi="Tahoma" w:cs="Tahoma"/>
      <w:sz w:val="16"/>
      <w:szCs w:val="16"/>
      <w:lang w:val="en-AU" w:eastAsia="en-US"/>
    </w:rPr>
  </w:style>
  <w:style w:type="paragraph" w:styleId="ListParagraph">
    <w:name w:val="List Paragraph"/>
    <w:basedOn w:val="Normal"/>
    <w:link w:val="ListParagraphChar"/>
    <w:uiPriority w:val="34"/>
    <w:qFormat/>
    <w:rsid w:val="00CC186A"/>
    <w:pPr>
      <w:ind w:left="720"/>
      <w:contextualSpacing/>
    </w:pPr>
  </w:style>
  <w:style w:type="character" w:styleId="UnresolvedMention">
    <w:name w:val="Unresolved Mention"/>
    <w:basedOn w:val="DefaultParagraphFont"/>
    <w:uiPriority w:val="99"/>
    <w:semiHidden/>
    <w:unhideWhenUsed/>
    <w:rsid w:val="00CC186A"/>
    <w:rPr>
      <w:color w:val="808080"/>
      <w:shd w:val="clear" w:color="auto" w:fill="E6E6E6"/>
    </w:rPr>
  </w:style>
  <w:style w:type="paragraph" w:customStyle="1" w:styleId="Introductorysentence">
    <w:name w:val="Introductory sentence"/>
    <w:basedOn w:val="Heading2"/>
    <w:link w:val="IntroductorysentenceChar"/>
    <w:qFormat/>
    <w:rsid w:val="007204DE"/>
    <w:pPr>
      <w:spacing w:before="120" w:after="120"/>
    </w:pPr>
    <w:rPr>
      <w:color w:val="002E5C"/>
      <w:sz w:val="28"/>
    </w:rPr>
  </w:style>
  <w:style w:type="character" w:customStyle="1" w:styleId="Heading2Char">
    <w:name w:val="Heading 2 Char"/>
    <w:basedOn w:val="DefaultParagraphFont"/>
    <w:link w:val="Heading2"/>
    <w:rsid w:val="007204DE"/>
    <w:rPr>
      <w:rFonts w:ascii="Noto Sans" w:hAnsi="Noto Sans"/>
      <w:b/>
      <w:color w:val="005EB8" w:themeColor="accent1"/>
      <w:sz w:val="32"/>
      <w:szCs w:val="36"/>
      <w:lang w:val="en-AU" w:eastAsia="en-US"/>
    </w:rPr>
  </w:style>
  <w:style w:type="character" w:customStyle="1" w:styleId="IntroductorysentenceChar">
    <w:name w:val="Introductory sentence Char"/>
    <w:basedOn w:val="Heading2Char"/>
    <w:link w:val="Introductorysentence"/>
    <w:rsid w:val="007204DE"/>
    <w:rPr>
      <w:rFonts w:ascii="Noto Sans" w:hAnsi="Noto Sans"/>
      <w:b/>
      <w:color w:val="002E5C"/>
      <w:sz w:val="28"/>
      <w:szCs w:val="36"/>
      <w:lang w:val="en-AU" w:eastAsia="en-US"/>
    </w:rPr>
  </w:style>
  <w:style w:type="character" w:customStyle="1" w:styleId="FooterChar">
    <w:name w:val="Footer Char"/>
    <w:basedOn w:val="DefaultParagraphFont"/>
    <w:link w:val="Footer"/>
    <w:uiPriority w:val="99"/>
    <w:rsid w:val="00720775"/>
    <w:rPr>
      <w:rFonts w:ascii="Arial" w:hAnsi="Arial"/>
      <w:color w:val="4D4D4F"/>
      <w:sz w:val="24"/>
      <w:lang w:val="en-AU" w:eastAsia="en-US"/>
    </w:rPr>
  </w:style>
  <w:style w:type="character" w:customStyle="1" w:styleId="Heading1Char">
    <w:name w:val="Heading 1 Char"/>
    <w:basedOn w:val="DefaultParagraphFont"/>
    <w:link w:val="Heading1"/>
    <w:rsid w:val="007204DE"/>
    <w:rPr>
      <w:rFonts w:ascii="Noto Sans" w:hAnsi="Noto Sans"/>
      <w:color w:val="005EB8" w:themeColor="accent1"/>
      <w:kern w:val="32"/>
      <w:sz w:val="48"/>
      <w:szCs w:val="32"/>
      <w:lang w:val="en-AU" w:eastAsia="en-US"/>
    </w:rPr>
  </w:style>
  <w:style w:type="character" w:customStyle="1" w:styleId="Heading4Char">
    <w:name w:val="Heading 4 Char"/>
    <w:basedOn w:val="DefaultParagraphFont"/>
    <w:link w:val="Heading4"/>
    <w:semiHidden/>
    <w:rsid w:val="00A14DBB"/>
    <w:rPr>
      <w:rFonts w:asciiTheme="majorHAnsi" w:eastAsiaTheme="majorEastAsia" w:hAnsiTheme="majorHAnsi" w:cstheme="majorBidi"/>
      <w:i/>
      <w:iCs/>
      <w:color w:val="004689" w:themeColor="accent1" w:themeShade="BF"/>
      <w:lang w:val="en-AU" w:eastAsia="en-US"/>
    </w:rPr>
  </w:style>
  <w:style w:type="table" w:styleId="TableGrid">
    <w:name w:val="Table Grid"/>
    <w:basedOn w:val="TableNormal"/>
    <w:uiPriority w:val="59"/>
    <w:qFormat/>
    <w:rsid w:val="00A14DBB"/>
    <w:pPr>
      <w:spacing w:before="60"/>
    </w:pPr>
    <w:rPr>
      <w:rFonts w:ascii="Arial" w:eastAsiaTheme="minorHAnsi" w:hAnsi="Arial" w:cstheme="minorBidi"/>
      <w:sz w:val="18"/>
      <w:szCs w:val="18"/>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introtext">
    <w:name w:val="Heading 1 intro text"/>
    <w:basedOn w:val="Heading2"/>
    <w:next w:val="Normal"/>
    <w:uiPriority w:val="5"/>
    <w:qFormat/>
    <w:rsid w:val="0001370B"/>
    <w:pPr>
      <w:tabs>
        <w:tab w:val="left" w:pos="1134"/>
      </w:tabs>
      <w:spacing w:before="360" w:after="240"/>
    </w:pPr>
    <w:rPr>
      <w:rFonts w:eastAsiaTheme="majorEastAsia" w:cstheme="majorBidi"/>
      <w:b w:val="0"/>
      <w:color w:val="002E5C"/>
      <w:szCs w:val="26"/>
    </w:rPr>
  </w:style>
  <w:style w:type="paragraph" w:styleId="ListNumber">
    <w:name w:val="List Number"/>
    <w:basedOn w:val="ListParagraph"/>
    <w:uiPriority w:val="10"/>
    <w:rsid w:val="00A14DBB"/>
    <w:pPr>
      <w:numPr>
        <w:numId w:val="5"/>
      </w:numPr>
      <w:tabs>
        <w:tab w:val="left" w:pos="357"/>
      </w:tabs>
      <w:spacing w:before="60" w:after="60"/>
      <w:contextualSpacing w:val="0"/>
    </w:pPr>
    <w:rPr>
      <w:rFonts w:eastAsiaTheme="minorHAnsi" w:cstheme="minorBidi"/>
      <w:color w:val="263746" w:themeColor="text1"/>
      <w:szCs w:val="18"/>
    </w:rPr>
  </w:style>
  <w:style w:type="paragraph" w:styleId="ListBullet">
    <w:name w:val="List Bullet"/>
    <w:basedOn w:val="Normal"/>
    <w:uiPriority w:val="9"/>
    <w:rsid w:val="00A14DBB"/>
    <w:pPr>
      <w:numPr>
        <w:numId w:val="3"/>
      </w:numPr>
      <w:tabs>
        <w:tab w:val="clear" w:pos="360"/>
        <w:tab w:val="left" w:pos="357"/>
      </w:tabs>
      <w:spacing w:before="60" w:after="60"/>
      <w:ind w:left="357" w:hanging="357"/>
    </w:pPr>
    <w:rPr>
      <w:rFonts w:eastAsiaTheme="minorHAnsi" w:cstheme="minorBidi"/>
      <w:color w:val="263746" w:themeColor="text1"/>
      <w:szCs w:val="18"/>
    </w:rPr>
  </w:style>
  <w:style w:type="paragraph" w:styleId="ListBullet2">
    <w:name w:val="List Bullet 2"/>
    <w:basedOn w:val="Normal"/>
    <w:uiPriority w:val="10"/>
    <w:rsid w:val="00A14DBB"/>
    <w:pPr>
      <w:numPr>
        <w:numId w:val="4"/>
      </w:numPr>
      <w:tabs>
        <w:tab w:val="left" w:pos="714"/>
      </w:tabs>
      <w:spacing w:before="60" w:after="60"/>
    </w:pPr>
    <w:rPr>
      <w:rFonts w:eastAsiaTheme="minorHAnsi" w:cstheme="minorBidi"/>
      <w:color w:val="263746" w:themeColor="text1"/>
      <w:szCs w:val="18"/>
    </w:rPr>
  </w:style>
  <w:style w:type="paragraph" w:customStyle="1" w:styleId="ListBulletIndent">
    <w:name w:val="List Bullet Indent"/>
    <w:basedOn w:val="ListBullet"/>
    <w:uiPriority w:val="9"/>
    <w:qFormat/>
    <w:rsid w:val="00E53DAB"/>
    <w:pPr>
      <w:numPr>
        <w:numId w:val="20"/>
      </w:numPr>
      <w:tabs>
        <w:tab w:val="left" w:pos="357"/>
      </w:tabs>
      <w:ind w:left="360"/>
    </w:pPr>
    <w:rPr>
      <w:color w:val="151515" w:themeColor="background2" w:themeShade="1A"/>
    </w:rPr>
  </w:style>
  <w:style w:type="paragraph" w:customStyle="1" w:styleId="Listalpha">
    <w:name w:val="List alpha"/>
    <w:basedOn w:val="ListParagraph"/>
    <w:uiPriority w:val="11"/>
    <w:qFormat/>
    <w:rsid w:val="00E53DAB"/>
    <w:pPr>
      <w:numPr>
        <w:numId w:val="6"/>
      </w:numPr>
      <w:tabs>
        <w:tab w:val="left" w:pos="714"/>
      </w:tabs>
      <w:spacing w:before="60" w:after="60"/>
      <w:ind w:left="360"/>
      <w:contextualSpacing w:val="0"/>
    </w:pPr>
    <w:rPr>
      <w:rFonts w:eastAsiaTheme="minorHAnsi" w:cstheme="minorBidi"/>
      <w:color w:val="263746" w:themeColor="text1"/>
      <w:szCs w:val="18"/>
    </w:rPr>
  </w:style>
  <w:style w:type="paragraph" w:customStyle="1" w:styleId="Disclaimer">
    <w:name w:val="Disclaimer"/>
    <w:basedOn w:val="Normal"/>
    <w:uiPriority w:val="7"/>
    <w:qFormat/>
    <w:rsid w:val="007204DE"/>
    <w:rPr>
      <w:rFonts w:eastAsiaTheme="minorHAnsi" w:cstheme="minorBidi"/>
      <w:color w:val="6A6A6A" w:themeColor="background2" w:themeShade="80"/>
      <w:sz w:val="12"/>
      <w:szCs w:val="19"/>
    </w:rPr>
  </w:style>
  <w:style w:type="paragraph" w:customStyle="1" w:styleId="SubHeadingBlue">
    <w:name w:val="Sub Heading Blue"/>
    <w:basedOn w:val="Caption"/>
    <w:uiPriority w:val="7"/>
    <w:qFormat/>
    <w:rsid w:val="000D2FD7"/>
    <w:pPr>
      <w:spacing w:after="40"/>
    </w:pPr>
    <w:rPr>
      <w:b/>
      <w:i w:val="0"/>
      <w:color w:val="005EB8"/>
      <w:sz w:val="22"/>
    </w:rPr>
  </w:style>
  <w:style w:type="table" w:styleId="PlainTable1">
    <w:name w:val="Plain Table 1"/>
    <w:basedOn w:val="TableNormal"/>
    <w:uiPriority w:val="41"/>
    <w:rsid w:val="00CD5E03"/>
    <w:pPr>
      <w:spacing w:before="60"/>
    </w:pPr>
    <w:rPr>
      <w:rFonts w:ascii="Arial" w:eastAsiaTheme="minorHAnsi" w:hAnsi="Arial" w:cstheme="minorBidi"/>
      <w:color w:val="FFFFFF" w:themeColor="background1"/>
      <w:sz w:val="18"/>
      <w:szCs w:val="18"/>
      <w:lang w:val="en-AU" w:eastAsia="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Yu Gothic Light" w:hAnsi="Yu Gothic Light" w:hint="default"/>
        <w:b/>
        <w:bCs/>
        <w:i w:val="0"/>
        <w:caps w:val="0"/>
        <w:smallCaps w:val="0"/>
        <w:strike w:val="0"/>
        <w:dstrike w:val="0"/>
        <w:vanish w:val="0"/>
        <w:webHidden w:val="0"/>
        <w:color w:val="FFFFFF"/>
        <w:sz w:val="20"/>
        <w:szCs w:val="20"/>
        <w:u w:val="none"/>
        <w:effect w:val="none"/>
        <w:specVanish w:val="0"/>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single" w:sz="4" w:space="0" w:color="005EB8" w:themeColor="accent5"/>
          <w:insideV w:val="single" w:sz="4" w:space="0" w:color="005EB8" w:themeColor="accent5"/>
        </w:tcBorders>
        <w:shd w:val="clear" w:color="auto" w:fill="263746" w:themeFill="text2"/>
      </w:tcPr>
    </w:tblStylePr>
    <w:tblStylePr w:type="lastRow">
      <w:rPr>
        <w:b/>
        <w:bCs/>
      </w:rPr>
      <w:tblPr/>
      <w:tcPr>
        <w:tcBorders>
          <w:top w:val="double" w:sz="4" w:space="0" w:color="BFBFBF" w:themeColor="background1" w:themeShade="BF"/>
        </w:tcBorders>
      </w:tcPr>
    </w:tblStylePr>
    <w:tblStylePr w:type="firstCol">
      <w:rPr>
        <w:b w:val="0"/>
        <w:bCs/>
      </w:rPr>
    </w:tblStylePr>
    <w:tblStylePr w:type="lastCol">
      <w:rPr>
        <w:b w:val="0"/>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semiHidden/>
    <w:unhideWhenUsed/>
    <w:qFormat/>
    <w:rsid w:val="00A14DBB"/>
    <w:pPr>
      <w:spacing w:after="200"/>
    </w:pPr>
    <w:rPr>
      <w:i/>
      <w:iCs/>
      <w:color w:val="263746" w:themeColor="text2"/>
      <w:szCs w:val="18"/>
    </w:rPr>
  </w:style>
  <w:style w:type="paragraph" w:styleId="BodyText">
    <w:name w:val="Body Text"/>
    <w:basedOn w:val="Normal"/>
    <w:link w:val="BodyTextChar"/>
    <w:rsid w:val="009812E1"/>
    <w:pPr>
      <w:spacing w:line="276" w:lineRule="auto"/>
    </w:pPr>
    <w:rPr>
      <w:color w:val="auto"/>
      <w:sz w:val="22"/>
      <w:szCs w:val="24"/>
      <w:lang w:eastAsia="en-AU"/>
    </w:rPr>
  </w:style>
  <w:style w:type="character" w:customStyle="1" w:styleId="BodyTextChar">
    <w:name w:val="Body Text Char"/>
    <w:basedOn w:val="DefaultParagraphFont"/>
    <w:link w:val="BodyText"/>
    <w:rsid w:val="009812E1"/>
    <w:rPr>
      <w:rFonts w:ascii="Arial" w:hAnsi="Arial"/>
      <w:sz w:val="22"/>
      <w:szCs w:val="24"/>
      <w:lang w:val="en-AU" w:eastAsia="en-AU"/>
    </w:rPr>
  </w:style>
  <w:style w:type="table" w:styleId="TableGridLight">
    <w:name w:val="Grid Table Light"/>
    <w:basedOn w:val="TableNormal"/>
    <w:uiPriority w:val="40"/>
    <w:rsid w:val="009812E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34AB"/>
    <w:rPr>
      <w:sz w:val="16"/>
      <w:szCs w:val="16"/>
    </w:rPr>
  </w:style>
  <w:style w:type="paragraph" w:styleId="CommentText">
    <w:name w:val="annotation text"/>
    <w:basedOn w:val="Normal"/>
    <w:link w:val="CommentTextChar"/>
    <w:uiPriority w:val="99"/>
    <w:unhideWhenUsed/>
    <w:rsid w:val="00A034AB"/>
  </w:style>
  <w:style w:type="character" w:customStyle="1" w:styleId="CommentTextChar">
    <w:name w:val="Comment Text Char"/>
    <w:basedOn w:val="DefaultParagraphFont"/>
    <w:link w:val="CommentText"/>
    <w:uiPriority w:val="99"/>
    <w:rsid w:val="00A034AB"/>
    <w:rPr>
      <w:rFonts w:ascii="Arial" w:hAnsi="Arial"/>
      <w:color w:val="4D4D4F"/>
      <w:lang w:val="en-AU" w:eastAsia="en-US"/>
    </w:rPr>
  </w:style>
  <w:style w:type="paragraph" w:styleId="CommentSubject">
    <w:name w:val="annotation subject"/>
    <w:basedOn w:val="CommentText"/>
    <w:next w:val="CommentText"/>
    <w:link w:val="CommentSubjectChar"/>
    <w:semiHidden/>
    <w:unhideWhenUsed/>
    <w:rsid w:val="00A034AB"/>
    <w:rPr>
      <w:b/>
      <w:bCs/>
    </w:rPr>
  </w:style>
  <w:style w:type="character" w:customStyle="1" w:styleId="CommentSubjectChar">
    <w:name w:val="Comment Subject Char"/>
    <w:basedOn w:val="CommentTextChar"/>
    <w:link w:val="CommentSubject"/>
    <w:semiHidden/>
    <w:rsid w:val="00A034AB"/>
    <w:rPr>
      <w:rFonts w:ascii="Arial" w:hAnsi="Arial"/>
      <w:b/>
      <w:bCs/>
      <w:color w:val="4D4D4F"/>
      <w:lang w:val="en-AU" w:eastAsia="en-US"/>
    </w:rPr>
  </w:style>
  <w:style w:type="character" w:styleId="PlaceholderText">
    <w:name w:val="Placeholder Text"/>
    <w:basedOn w:val="DefaultParagraphFont"/>
    <w:unhideWhenUsed/>
    <w:rsid w:val="00EE0E40"/>
    <w:rPr>
      <w:color w:val="808080"/>
    </w:rPr>
  </w:style>
  <w:style w:type="character" w:customStyle="1" w:styleId="s1">
    <w:name w:val="s1"/>
    <w:basedOn w:val="DefaultParagraphFont"/>
    <w:rsid w:val="008B72A9"/>
  </w:style>
  <w:style w:type="character" w:customStyle="1" w:styleId="icon-boxsubtitle4">
    <w:name w:val="icon-box__subtitle4"/>
    <w:basedOn w:val="DefaultParagraphFont"/>
    <w:rsid w:val="008B72A9"/>
  </w:style>
  <w:style w:type="character" w:styleId="FollowedHyperlink">
    <w:name w:val="FollowedHyperlink"/>
    <w:basedOn w:val="DefaultParagraphFont"/>
    <w:rsid w:val="00F0413B"/>
    <w:rPr>
      <w:color w:val="005EB8" w:themeColor="followedHyperlink"/>
      <w:u w:val="single"/>
    </w:rPr>
  </w:style>
  <w:style w:type="character" w:customStyle="1" w:styleId="bmdetailsoverlay">
    <w:name w:val="bm_details_overlay"/>
    <w:basedOn w:val="DefaultParagraphFont"/>
    <w:rsid w:val="000D7927"/>
  </w:style>
  <w:style w:type="character" w:customStyle="1" w:styleId="HeaderChar">
    <w:name w:val="Header Char"/>
    <w:basedOn w:val="DefaultParagraphFont"/>
    <w:link w:val="Header"/>
    <w:uiPriority w:val="99"/>
    <w:rsid w:val="0093558C"/>
    <w:rPr>
      <w:rFonts w:ascii="Arial" w:hAnsi="Arial"/>
      <w:color w:val="4D4D4F"/>
      <w:lang w:val="en-AU" w:eastAsia="en-US"/>
    </w:rPr>
  </w:style>
  <w:style w:type="paragraph" w:customStyle="1" w:styleId="ButtonText">
    <w:name w:val="Button Text"/>
    <w:basedOn w:val="Normal"/>
    <w:link w:val="ButtonTextChar"/>
    <w:qFormat/>
    <w:rsid w:val="000D2FD7"/>
    <w:pPr>
      <w:spacing w:after="0"/>
      <w:jc w:val="center"/>
    </w:pPr>
    <w:rPr>
      <w:rFonts w:cs="Noto Sans"/>
      <w:b/>
      <w:color w:val="FFFFFF" w:themeColor="background1"/>
      <w:szCs w:val="18"/>
    </w:rPr>
  </w:style>
  <w:style w:type="character" w:customStyle="1" w:styleId="ButtonTextChar">
    <w:name w:val="Button Text Char"/>
    <w:basedOn w:val="DefaultParagraphFont"/>
    <w:link w:val="ButtonText"/>
    <w:rsid w:val="000D2FD7"/>
    <w:rPr>
      <w:rFonts w:ascii="Noto Sans" w:hAnsi="Noto Sans" w:cs="Noto Sans"/>
      <w:b/>
      <w:color w:val="FFFFFF" w:themeColor="background1"/>
      <w:sz w:val="18"/>
      <w:szCs w:val="18"/>
      <w:lang w:val="en-AU" w:eastAsia="en-US"/>
    </w:rPr>
  </w:style>
  <w:style w:type="character" w:customStyle="1" w:styleId="ListParagraphChar">
    <w:name w:val="List Paragraph Char"/>
    <w:basedOn w:val="DefaultParagraphFont"/>
    <w:link w:val="ListParagraph"/>
    <w:uiPriority w:val="34"/>
    <w:rsid w:val="00984513"/>
    <w:rPr>
      <w:rFonts w:ascii="Noto Sans" w:hAnsi="Noto Sans"/>
      <w:color w:val="151515" w:themeColor="background2" w:themeShade="1A"/>
      <w:sz w:val="18"/>
      <w:lang w:val="en-AU" w:eastAsia="en-US"/>
    </w:rPr>
  </w:style>
  <w:style w:type="table" w:styleId="PlainTable3">
    <w:name w:val="Plain Table 3"/>
    <w:basedOn w:val="TableNormal"/>
    <w:uiPriority w:val="43"/>
    <w:rsid w:val="00984513"/>
    <w:rPr>
      <w:rFonts w:asciiTheme="minorHAnsi" w:eastAsiaTheme="minorHAnsi" w:hAnsiTheme="minorHAnsi" w:cstheme="minorBidi"/>
      <w:kern w:val="2"/>
      <w:sz w:val="24"/>
      <w:szCs w:val="24"/>
      <w:lang w:val="en-AU" w:eastAsia="en-US"/>
      <w14:ligatures w14:val="standardContextual"/>
    </w:rPr>
    <w:tblPr>
      <w:tblStyleRowBandSize w:val="1"/>
      <w:tblStyleColBandSize w:val="1"/>
    </w:tblPr>
    <w:tcPr>
      <w:tcBorders>
        <w:right w:val="single" w:sz="4" w:space="0" w:color="7C9BB8"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table" w:customStyle="1" w:styleId="Table-QldBlue">
    <w:name w:val="Table - Qld Blue"/>
    <w:basedOn w:val="TableNormal"/>
    <w:rsid w:val="008E170B"/>
    <w:rPr>
      <w:rFonts w:ascii="Noto Sans" w:hAnsi="Noto Sans"/>
      <w:sz w:val="22"/>
      <w:lang w:val="en-AU" w:eastAsia="en-AU"/>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Baloo Tammudu 2 ExtraBold" w:hAnsi="Baloo Tammudu 2 ExtraBold"/>
        <w:b/>
        <w:color w:val="FFFFFF"/>
        <w:sz w:val="24"/>
      </w:rPr>
      <w:tblPr/>
      <w:tcPr>
        <w:shd w:val="clear" w:color="auto" w:fill="263746"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Baloo Tammudu 2 ExtraBold" w:hAnsi="Baloo Tammudu 2 ExtraBold"/>
        <w:b/>
      </w:rPr>
      <w:tblPr/>
      <w:tcPr>
        <w:shd w:val="clear" w:color="auto" w:fill="E6E6E6"/>
      </w:tcPr>
    </w:tblStylePr>
  </w:style>
  <w:style w:type="paragraph" w:customStyle="1" w:styleId="UltraHeading">
    <w:name w:val="Ultra Heading"/>
    <w:link w:val="UltraHeadingChar"/>
    <w:autoRedefine/>
    <w:qFormat/>
    <w:rsid w:val="008E170B"/>
    <w:rPr>
      <w:rFonts w:ascii="Noto Sans Black" w:eastAsia="MS Mincho" w:hAnsi="Noto Sans Black" w:cs="Arial"/>
      <w:b/>
      <w:color w:val="263746" w:themeColor="text2"/>
      <w:kern w:val="32"/>
      <w:sz w:val="32"/>
      <w:szCs w:val="32"/>
      <w:lang w:val="en-GB" w:eastAsia="en-US"/>
    </w:rPr>
  </w:style>
  <w:style w:type="character" w:customStyle="1" w:styleId="UltraHeadingChar">
    <w:name w:val="Ultra Heading Char"/>
    <w:basedOn w:val="Heading1Char"/>
    <w:link w:val="UltraHeading"/>
    <w:rsid w:val="008E170B"/>
    <w:rPr>
      <w:rFonts w:ascii="Noto Sans Black" w:eastAsia="MS Mincho" w:hAnsi="Noto Sans Black" w:cs="Arial"/>
      <w:b/>
      <w:color w:val="263746" w:themeColor="text2"/>
      <w:kern w:val="32"/>
      <w:sz w:val="32"/>
      <w:szCs w:val="32"/>
      <w:lang w:val="en-GB" w:eastAsia="en-US"/>
    </w:rPr>
  </w:style>
  <w:style w:type="table" w:styleId="GridTable4">
    <w:name w:val="Grid Table 4"/>
    <w:basedOn w:val="TableNormal"/>
    <w:uiPriority w:val="49"/>
    <w:rsid w:val="00EC2EA5"/>
    <w:tblPr>
      <w:tblStyleRowBandSize w:val="1"/>
      <w:tblStyleColBandSize w:val="1"/>
      <w:tblBorders>
        <w:top w:val="single" w:sz="4" w:space="0" w:color="6288AA" w:themeColor="text1" w:themeTint="99"/>
        <w:left w:val="single" w:sz="4" w:space="0" w:color="6288AA" w:themeColor="text1" w:themeTint="99"/>
        <w:bottom w:val="single" w:sz="4" w:space="0" w:color="6288AA" w:themeColor="text1" w:themeTint="99"/>
        <w:right w:val="single" w:sz="4" w:space="0" w:color="6288AA" w:themeColor="text1" w:themeTint="99"/>
        <w:insideH w:val="single" w:sz="4" w:space="0" w:color="6288AA" w:themeColor="text1" w:themeTint="99"/>
        <w:insideV w:val="single" w:sz="4" w:space="0" w:color="6288AA" w:themeColor="text1" w:themeTint="99"/>
      </w:tblBorders>
    </w:tblPr>
    <w:tblStylePr w:type="firstRow">
      <w:rPr>
        <w:b/>
        <w:bCs/>
        <w:color w:val="FFFFFF" w:themeColor="background1"/>
      </w:rPr>
      <w:tblPr/>
      <w:tcPr>
        <w:tcBorders>
          <w:top w:val="single" w:sz="4" w:space="0" w:color="263746" w:themeColor="text1"/>
          <w:left w:val="single" w:sz="4" w:space="0" w:color="263746" w:themeColor="text1"/>
          <w:bottom w:val="single" w:sz="4" w:space="0" w:color="263746" w:themeColor="text1"/>
          <w:right w:val="single" w:sz="4" w:space="0" w:color="263746" w:themeColor="text1"/>
          <w:insideH w:val="nil"/>
          <w:insideV w:val="nil"/>
        </w:tcBorders>
        <w:shd w:val="clear" w:color="auto" w:fill="263746" w:themeFill="text1"/>
      </w:tcPr>
    </w:tblStylePr>
    <w:tblStylePr w:type="lastRow">
      <w:rPr>
        <w:b/>
        <w:bCs/>
      </w:rPr>
      <w:tblPr/>
      <w:tcPr>
        <w:tcBorders>
          <w:top w:val="double" w:sz="4" w:space="0" w:color="263746" w:themeColor="text1"/>
        </w:tcBorders>
      </w:tcPr>
    </w:tblStylePr>
    <w:tblStylePr w:type="firstCol">
      <w:rPr>
        <w:b/>
        <w:bCs/>
      </w:rPr>
    </w:tblStylePr>
    <w:tblStylePr w:type="lastCol">
      <w:rPr>
        <w:b/>
        <w:bCs/>
      </w:rPr>
    </w:tblStylePr>
    <w:tblStylePr w:type="band1Vert">
      <w:tblPr/>
      <w:tcPr>
        <w:shd w:val="clear" w:color="auto" w:fill="CAD7E2" w:themeFill="text1" w:themeFillTint="33"/>
      </w:tcPr>
    </w:tblStylePr>
    <w:tblStylePr w:type="band1Horz">
      <w:tblPr/>
      <w:tcPr>
        <w:shd w:val="clear" w:color="auto" w:fill="CAD7E2" w:themeFill="text1" w:themeFillTint="33"/>
      </w:tcPr>
    </w:tblStylePr>
  </w:style>
  <w:style w:type="table" w:styleId="GridTable4-Accent1">
    <w:name w:val="Grid Table 4 Accent 1"/>
    <w:basedOn w:val="TableNormal"/>
    <w:uiPriority w:val="49"/>
    <w:rsid w:val="00EC2EA5"/>
    <w:tblPr>
      <w:tblStyleRowBandSize w:val="1"/>
      <w:tblStyleColBandSize w:val="1"/>
      <w:tblBorders>
        <w:top w:val="single" w:sz="4" w:space="0" w:color="3B9FFF" w:themeColor="accent1" w:themeTint="99"/>
        <w:left w:val="single" w:sz="4" w:space="0" w:color="3B9FFF" w:themeColor="accent1" w:themeTint="99"/>
        <w:bottom w:val="single" w:sz="4" w:space="0" w:color="3B9FFF" w:themeColor="accent1" w:themeTint="99"/>
        <w:right w:val="single" w:sz="4" w:space="0" w:color="3B9FFF" w:themeColor="accent1" w:themeTint="99"/>
        <w:insideH w:val="single" w:sz="4" w:space="0" w:color="3B9FFF" w:themeColor="accent1" w:themeTint="99"/>
        <w:insideV w:val="single" w:sz="4" w:space="0" w:color="3B9FFF" w:themeColor="accent1" w:themeTint="99"/>
      </w:tblBorders>
    </w:tblPr>
    <w:tblStylePr w:type="firstRow">
      <w:rPr>
        <w:b/>
        <w:bCs/>
        <w:color w:val="FFFFFF" w:themeColor="background1"/>
      </w:rPr>
      <w:tblPr/>
      <w:tcPr>
        <w:tcBorders>
          <w:top w:val="single" w:sz="4" w:space="0" w:color="005EB8" w:themeColor="accent1"/>
          <w:left w:val="single" w:sz="4" w:space="0" w:color="005EB8" w:themeColor="accent1"/>
          <w:bottom w:val="single" w:sz="4" w:space="0" w:color="005EB8" w:themeColor="accent1"/>
          <w:right w:val="single" w:sz="4" w:space="0" w:color="005EB8" w:themeColor="accent1"/>
          <w:insideH w:val="nil"/>
          <w:insideV w:val="nil"/>
        </w:tcBorders>
        <w:shd w:val="clear" w:color="auto" w:fill="005EB8" w:themeFill="accent1"/>
      </w:tcPr>
    </w:tblStylePr>
    <w:tblStylePr w:type="lastRow">
      <w:rPr>
        <w:b/>
        <w:bCs/>
      </w:rPr>
      <w:tblPr/>
      <w:tcPr>
        <w:tcBorders>
          <w:top w:val="double" w:sz="4" w:space="0" w:color="005EB8" w:themeColor="accent1"/>
        </w:tcBorders>
      </w:tcPr>
    </w:tblStylePr>
    <w:tblStylePr w:type="firstCol">
      <w:rPr>
        <w:b/>
        <w:bCs/>
      </w:rPr>
    </w:tblStylePr>
    <w:tblStylePr w:type="lastCol">
      <w:rPr>
        <w:b/>
        <w:bCs/>
      </w:rPr>
    </w:tblStylePr>
    <w:tblStylePr w:type="band1Vert">
      <w:tblPr/>
      <w:tcPr>
        <w:shd w:val="clear" w:color="auto" w:fill="BDDEFF" w:themeFill="accent1" w:themeFillTint="33"/>
      </w:tcPr>
    </w:tblStylePr>
    <w:tblStylePr w:type="band1Horz">
      <w:tblPr/>
      <w:tcPr>
        <w:shd w:val="clear" w:color="auto" w:fill="BDDEFF" w:themeFill="accent1" w:themeFillTint="33"/>
      </w:tcPr>
    </w:tblStylePr>
  </w:style>
  <w:style w:type="table" w:styleId="GridTable4-Accent5">
    <w:name w:val="Grid Table 4 Accent 5"/>
    <w:basedOn w:val="TableNormal"/>
    <w:uiPriority w:val="49"/>
    <w:rsid w:val="00703354"/>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insideV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insideV w:val="nil"/>
        </w:tcBorders>
        <w:shd w:val="clear" w:color="auto" w:fill="005EB8" w:themeFill="accent5"/>
      </w:tcPr>
    </w:tblStylePr>
    <w:tblStylePr w:type="lastRow">
      <w:rPr>
        <w:b/>
        <w:bCs/>
      </w:rPr>
      <w:tblPr/>
      <w:tcPr>
        <w:tcBorders>
          <w:top w:val="double" w:sz="4" w:space="0" w:color="005EB8" w:themeColor="accent5"/>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table" w:styleId="GridTable4-Accent6">
    <w:name w:val="Grid Table 4 Accent 6"/>
    <w:basedOn w:val="TableNormal"/>
    <w:uiPriority w:val="49"/>
    <w:rsid w:val="00703354"/>
    <w:tblPr>
      <w:tblStyleRowBandSize w:val="1"/>
      <w:tblStyleColBandSize w:val="1"/>
      <w:tblBorders>
        <w:top w:val="single" w:sz="4" w:space="0" w:color="3B9FFF" w:themeColor="accent6" w:themeTint="99"/>
        <w:left w:val="single" w:sz="4" w:space="0" w:color="3B9FFF" w:themeColor="accent6" w:themeTint="99"/>
        <w:bottom w:val="single" w:sz="4" w:space="0" w:color="3B9FFF" w:themeColor="accent6" w:themeTint="99"/>
        <w:right w:val="single" w:sz="4" w:space="0" w:color="3B9FFF" w:themeColor="accent6" w:themeTint="99"/>
        <w:insideH w:val="single" w:sz="4" w:space="0" w:color="3B9FFF" w:themeColor="accent6" w:themeTint="99"/>
        <w:insideV w:val="single" w:sz="4" w:space="0" w:color="3B9FFF" w:themeColor="accent6" w:themeTint="99"/>
      </w:tblBorders>
    </w:tblPr>
    <w:tblStylePr w:type="firstRow">
      <w:rPr>
        <w:b/>
        <w:bCs/>
        <w:color w:val="FFFFFF" w:themeColor="background1"/>
      </w:rPr>
      <w:tblPr/>
      <w:tcPr>
        <w:tcBorders>
          <w:top w:val="single" w:sz="4" w:space="0" w:color="005EB8" w:themeColor="accent6"/>
          <w:left w:val="single" w:sz="4" w:space="0" w:color="005EB8" w:themeColor="accent6"/>
          <w:bottom w:val="single" w:sz="4" w:space="0" w:color="005EB8" w:themeColor="accent6"/>
          <w:right w:val="single" w:sz="4" w:space="0" w:color="005EB8" w:themeColor="accent6"/>
          <w:insideH w:val="nil"/>
          <w:insideV w:val="nil"/>
        </w:tcBorders>
        <w:shd w:val="clear" w:color="auto" w:fill="005EB8" w:themeFill="accent6"/>
      </w:tcPr>
    </w:tblStylePr>
    <w:tblStylePr w:type="lastRow">
      <w:rPr>
        <w:b/>
        <w:bCs/>
      </w:rPr>
      <w:tblPr/>
      <w:tcPr>
        <w:tcBorders>
          <w:top w:val="double" w:sz="4" w:space="0" w:color="005EB8" w:themeColor="accent6"/>
        </w:tcBorders>
      </w:tcPr>
    </w:tblStylePr>
    <w:tblStylePr w:type="firstCol">
      <w:rPr>
        <w:b/>
        <w:bCs/>
      </w:rPr>
    </w:tblStylePr>
    <w:tblStylePr w:type="lastCol">
      <w:rPr>
        <w:b/>
        <w:bCs/>
      </w:rPr>
    </w:tblStylePr>
    <w:tblStylePr w:type="band1Vert">
      <w:tblPr/>
      <w:tcPr>
        <w:shd w:val="clear" w:color="auto" w:fill="BDDEFF" w:themeFill="accent6" w:themeFillTint="33"/>
      </w:tcPr>
    </w:tblStylePr>
    <w:tblStylePr w:type="band1Horz">
      <w:tblPr/>
      <w:tcPr>
        <w:shd w:val="clear" w:color="auto" w:fill="BDDEFF" w:themeFill="accent6" w:themeFillTint="33"/>
      </w:tcPr>
    </w:tblStylePr>
  </w:style>
  <w:style w:type="table" w:styleId="GridTable5Dark-Accent6">
    <w:name w:val="Grid Table 5 Dark Accent 6"/>
    <w:basedOn w:val="TableNormal"/>
    <w:uiPriority w:val="50"/>
    <w:rsid w:val="00BA1E8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DDE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5EB8"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5EB8"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5EB8"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5EB8" w:themeFill="accent6"/>
      </w:tcPr>
    </w:tblStylePr>
    <w:tblStylePr w:type="band1Vert">
      <w:tblPr/>
      <w:tcPr>
        <w:shd w:val="clear" w:color="auto" w:fill="7CBEFF" w:themeFill="accent6" w:themeFillTint="66"/>
      </w:tcPr>
    </w:tblStylePr>
    <w:tblStylePr w:type="band1Horz">
      <w:tblPr/>
      <w:tcPr>
        <w:shd w:val="clear" w:color="auto" w:fill="7CBEFF" w:themeFill="accent6" w:themeFillTint="66"/>
      </w:tcPr>
    </w:tblStylePr>
  </w:style>
  <w:style w:type="table" w:styleId="GridTable6Colorful-Accent6">
    <w:name w:val="Grid Table 6 Colorful Accent 6"/>
    <w:basedOn w:val="TableNormal"/>
    <w:uiPriority w:val="51"/>
    <w:rsid w:val="00BA1E8B"/>
    <w:rPr>
      <w:color w:val="004689" w:themeColor="accent6" w:themeShade="BF"/>
    </w:rPr>
    <w:tblPr>
      <w:tblStyleRowBandSize w:val="1"/>
      <w:tblStyleColBandSize w:val="1"/>
      <w:tblBorders>
        <w:top w:val="single" w:sz="4" w:space="0" w:color="3B9FFF" w:themeColor="accent6" w:themeTint="99"/>
        <w:left w:val="single" w:sz="4" w:space="0" w:color="3B9FFF" w:themeColor="accent6" w:themeTint="99"/>
        <w:bottom w:val="single" w:sz="4" w:space="0" w:color="3B9FFF" w:themeColor="accent6" w:themeTint="99"/>
        <w:right w:val="single" w:sz="4" w:space="0" w:color="3B9FFF" w:themeColor="accent6" w:themeTint="99"/>
        <w:insideH w:val="single" w:sz="4" w:space="0" w:color="3B9FFF" w:themeColor="accent6" w:themeTint="99"/>
        <w:insideV w:val="single" w:sz="4" w:space="0" w:color="3B9FFF" w:themeColor="accent6" w:themeTint="99"/>
      </w:tblBorders>
    </w:tblPr>
    <w:tblStylePr w:type="firstRow">
      <w:rPr>
        <w:b/>
        <w:bCs/>
      </w:rPr>
      <w:tblPr/>
      <w:tcPr>
        <w:tcBorders>
          <w:bottom w:val="single" w:sz="12" w:space="0" w:color="3B9FFF" w:themeColor="accent6" w:themeTint="99"/>
        </w:tcBorders>
      </w:tcPr>
    </w:tblStylePr>
    <w:tblStylePr w:type="lastRow">
      <w:rPr>
        <w:b/>
        <w:bCs/>
      </w:rPr>
      <w:tblPr/>
      <w:tcPr>
        <w:tcBorders>
          <w:top w:val="double" w:sz="4" w:space="0" w:color="3B9FFF" w:themeColor="accent6" w:themeTint="99"/>
        </w:tcBorders>
      </w:tcPr>
    </w:tblStylePr>
    <w:tblStylePr w:type="firstCol">
      <w:rPr>
        <w:b/>
        <w:bCs/>
      </w:rPr>
    </w:tblStylePr>
    <w:tblStylePr w:type="lastCol">
      <w:rPr>
        <w:b/>
        <w:bCs/>
      </w:rPr>
    </w:tblStylePr>
    <w:tblStylePr w:type="band1Vert">
      <w:tblPr/>
      <w:tcPr>
        <w:shd w:val="clear" w:color="auto" w:fill="BDDEFF" w:themeFill="accent6" w:themeFillTint="33"/>
      </w:tcPr>
    </w:tblStylePr>
    <w:tblStylePr w:type="band1Horz">
      <w:tblPr/>
      <w:tcPr>
        <w:shd w:val="clear" w:color="auto" w:fill="BDDEFF" w:themeFill="accent6" w:themeFillTint="33"/>
      </w:tcPr>
    </w:tblStylePr>
  </w:style>
  <w:style w:type="table" w:styleId="ListTable3-Accent6">
    <w:name w:val="List Table 3 Accent 6"/>
    <w:basedOn w:val="TableNormal"/>
    <w:uiPriority w:val="48"/>
    <w:rsid w:val="00BA1E8B"/>
    <w:tblPr>
      <w:tblStyleRowBandSize w:val="1"/>
      <w:tblStyleColBandSize w:val="1"/>
      <w:tblBorders>
        <w:top w:val="single" w:sz="4" w:space="0" w:color="005EB8" w:themeColor="accent6"/>
        <w:left w:val="single" w:sz="4" w:space="0" w:color="005EB8" w:themeColor="accent6"/>
        <w:bottom w:val="single" w:sz="4" w:space="0" w:color="005EB8" w:themeColor="accent6"/>
        <w:right w:val="single" w:sz="4" w:space="0" w:color="005EB8" w:themeColor="accent6"/>
      </w:tblBorders>
    </w:tblPr>
    <w:tblStylePr w:type="firstRow">
      <w:rPr>
        <w:b/>
        <w:bCs/>
        <w:color w:val="FFFFFF" w:themeColor="background1"/>
      </w:rPr>
      <w:tblPr/>
      <w:tcPr>
        <w:shd w:val="clear" w:color="auto" w:fill="005EB8" w:themeFill="accent6"/>
      </w:tcPr>
    </w:tblStylePr>
    <w:tblStylePr w:type="lastRow">
      <w:rPr>
        <w:b/>
        <w:bCs/>
      </w:rPr>
      <w:tblPr/>
      <w:tcPr>
        <w:tcBorders>
          <w:top w:val="double" w:sz="4" w:space="0" w:color="005EB8"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5EB8" w:themeColor="accent6"/>
          <w:right w:val="single" w:sz="4" w:space="0" w:color="005EB8" w:themeColor="accent6"/>
        </w:tcBorders>
      </w:tcPr>
    </w:tblStylePr>
    <w:tblStylePr w:type="band1Horz">
      <w:tblPr/>
      <w:tcPr>
        <w:tcBorders>
          <w:top w:val="single" w:sz="4" w:space="0" w:color="005EB8" w:themeColor="accent6"/>
          <w:bottom w:val="single" w:sz="4" w:space="0" w:color="005EB8"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5EB8" w:themeColor="accent6"/>
          <w:left w:val="nil"/>
        </w:tcBorders>
      </w:tcPr>
    </w:tblStylePr>
    <w:tblStylePr w:type="swCell">
      <w:tblPr/>
      <w:tcPr>
        <w:tcBorders>
          <w:top w:val="double" w:sz="4" w:space="0" w:color="005EB8" w:themeColor="accent6"/>
          <w:right w:val="nil"/>
        </w:tcBorders>
      </w:tcPr>
    </w:tblStylePr>
  </w:style>
  <w:style w:type="table" w:styleId="ListTable4-Accent5">
    <w:name w:val="List Table 4 Accent 5"/>
    <w:basedOn w:val="TableNormal"/>
    <w:uiPriority w:val="49"/>
    <w:rsid w:val="00BA1E8B"/>
    <w:tblPr>
      <w:tblStyleRowBandSize w:val="1"/>
      <w:tblStyleColBandSize w:val="1"/>
      <w:tblBorders>
        <w:top w:val="single" w:sz="4" w:space="0" w:color="3B9FFF" w:themeColor="accent5" w:themeTint="99"/>
        <w:left w:val="single" w:sz="4" w:space="0" w:color="3B9FFF" w:themeColor="accent5" w:themeTint="99"/>
        <w:bottom w:val="single" w:sz="4" w:space="0" w:color="3B9FFF" w:themeColor="accent5" w:themeTint="99"/>
        <w:right w:val="single" w:sz="4" w:space="0" w:color="3B9FFF" w:themeColor="accent5" w:themeTint="99"/>
        <w:insideH w:val="single" w:sz="4" w:space="0" w:color="3B9FFF" w:themeColor="accent5" w:themeTint="99"/>
      </w:tblBorders>
    </w:tblPr>
    <w:tblStylePr w:type="firstRow">
      <w:rPr>
        <w:b/>
        <w:bCs/>
        <w:color w:val="FFFFFF" w:themeColor="background1"/>
      </w:rPr>
      <w:tblPr/>
      <w:tcPr>
        <w:tcBorders>
          <w:top w:val="single" w:sz="4" w:space="0" w:color="005EB8" w:themeColor="accent5"/>
          <w:left w:val="single" w:sz="4" w:space="0" w:color="005EB8" w:themeColor="accent5"/>
          <w:bottom w:val="single" w:sz="4" w:space="0" w:color="005EB8" w:themeColor="accent5"/>
          <w:right w:val="single" w:sz="4" w:space="0" w:color="005EB8" w:themeColor="accent5"/>
          <w:insideH w:val="nil"/>
        </w:tcBorders>
        <w:shd w:val="clear" w:color="auto" w:fill="005EB8" w:themeFill="accent5"/>
      </w:tcPr>
    </w:tblStylePr>
    <w:tblStylePr w:type="lastRow">
      <w:rPr>
        <w:b/>
        <w:bCs/>
      </w:rPr>
      <w:tblPr/>
      <w:tcPr>
        <w:tcBorders>
          <w:top w:val="double" w:sz="4" w:space="0" w:color="3B9FFF" w:themeColor="accent5" w:themeTint="99"/>
        </w:tcBorders>
      </w:tcPr>
    </w:tblStylePr>
    <w:tblStylePr w:type="firstCol">
      <w:rPr>
        <w:b/>
        <w:bCs/>
      </w:rPr>
    </w:tblStylePr>
    <w:tblStylePr w:type="lastCol">
      <w:rPr>
        <w:b/>
        <w:bCs/>
      </w:rPr>
    </w:tblStylePr>
    <w:tblStylePr w:type="band1Vert">
      <w:tblPr/>
      <w:tcPr>
        <w:shd w:val="clear" w:color="auto" w:fill="BDDEFF" w:themeFill="accent5" w:themeFillTint="33"/>
      </w:tcPr>
    </w:tblStylePr>
    <w:tblStylePr w:type="band1Horz">
      <w:tblPr/>
      <w:tcPr>
        <w:shd w:val="clear" w:color="auto" w:fill="BDDEFF" w:themeFill="accent5" w:themeFillTint="33"/>
      </w:tcPr>
    </w:tblStylePr>
  </w:style>
  <w:style w:type="paragraph" w:styleId="Revision">
    <w:name w:val="Revision"/>
    <w:hidden/>
    <w:uiPriority w:val="99"/>
    <w:semiHidden/>
    <w:rsid w:val="00F7334F"/>
    <w:rPr>
      <w:rFonts w:ascii="Noto Sans" w:hAnsi="Noto Sans"/>
      <w:color w:val="151515" w:themeColor="background2" w:themeShade="1A"/>
      <w:sz w:val="18"/>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864690">
      <w:bodyDiv w:val="1"/>
      <w:marLeft w:val="0"/>
      <w:marRight w:val="0"/>
      <w:marTop w:val="0"/>
      <w:marBottom w:val="0"/>
      <w:divBdr>
        <w:top w:val="none" w:sz="0" w:space="0" w:color="auto"/>
        <w:left w:val="none" w:sz="0" w:space="0" w:color="auto"/>
        <w:bottom w:val="none" w:sz="0" w:space="0" w:color="auto"/>
        <w:right w:val="none" w:sz="0" w:space="0" w:color="auto"/>
      </w:divBdr>
    </w:div>
    <w:div w:id="252976788">
      <w:bodyDiv w:val="1"/>
      <w:marLeft w:val="0"/>
      <w:marRight w:val="0"/>
      <w:marTop w:val="0"/>
      <w:marBottom w:val="0"/>
      <w:divBdr>
        <w:top w:val="none" w:sz="0" w:space="0" w:color="auto"/>
        <w:left w:val="none" w:sz="0" w:space="0" w:color="auto"/>
        <w:bottom w:val="none" w:sz="0" w:space="0" w:color="auto"/>
        <w:right w:val="none" w:sz="0" w:space="0" w:color="auto"/>
      </w:divBdr>
    </w:div>
    <w:div w:id="612789669">
      <w:bodyDiv w:val="1"/>
      <w:marLeft w:val="0"/>
      <w:marRight w:val="0"/>
      <w:marTop w:val="0"/>
      <w:marBottom w:val="0"/>
      <w:divBdr>
        <w:top w:val="none" w:sz="0" w:space="0" w:color="auto"/>
        <w:left w:val="none" w:sz="0" w:space="0" w:color="auto"/>
        <w:bottom w:val="none" w:sz="0" w:space="0" w:color="auto"/>
        <w:right w:val="none" w:sz="0" w:space="0" w:color="auto"/>
      </w:divBdr>
    </w:div>
    <w:div w:id="628584411">
      <w:bodyDiv w:val="1"/>
      <w:marLeft w:val="0"/>
      <w:marRight w:val="0"/>
      <w:marTop w:val="0"/>
      <w:marBottom w:val="0"/>
      <w:divBdr>
        <w:top w:val="none" w:sz="0" w:space="0" w:color="auto"/>
        <w:left w:val="none" w:sz="0" w:space="0" w:color="auto"/>
        <w:bottom w:val="none" w:sz="0" w:space="0" w:color="auto"/>
        <w:right w:val="none" w:sz="0" w:space="0" w:color="auto"/>
      </w:divBdr>
    </w:div>
    <w:div w:id="1003387978">
      <w:bodyDiv w:val="1"/>
      <w:marLeft w:val="0"/>
      <w:marRight w:val="0"/>
      <w:marTop w:val="0"/>
      <w:marBottom w:val="0"/>
      <w:divBdr>
        <w:top w:val="none" w:sz="0" w:space="0" w:color="auto"/>
        <w:left w:val="none" w:sz="0" w:space="0" w:color="auto"/>
        <w:bottom w:val="none" w:sz="0" w:space="0" w:color="auto"/>
        <w:right w:val="none" w:sz="0" w:space="0" w:color="auto"/>
      </w:divBdr>
    </w:div>
    <w:div w:id="1151681030">
      <w:bodyDiv w:val="1"/>
      <w:marLeft w:val="0"/>
      <w:marRight w:val="0"/>
      <w:marTop w:val="0"/>
      <w:marBottom w:val="0"/>
      <w:divBdr>
        <w:top w:val="none" w:sz="0" w:space="0" w:color="auto"/>
        <w:left w:val="none" w:sz="0" w:space="0" w:color="auto"/>
        <w:bottom w:val="none" w:sz="0" w:space="0" w:color="auto"/>
        <w:right w:val="none" w:sz="0" w:space="0" w:color="auto"/>
      </w:divBdr>
    </w:div>
    <w:div w:id="1189030866">
      <w:bodyDiv w:val="1"/>
      <w:marLeft w:val="0"/>
      <w:marRight w:val="0"/>
      <w:marTop w:val="0"/>
      <w:marBottom w:val="0"/>
      <w:divBdr>
        <w:top w:val="none" w:sz="0" w:space="0" w:color="auto"/>
        <w:left w:val="none" w:sz="0" w:space="0" w:color="auto"/>
        <w:bottom w:val="none" w:sz="0" w:space="0" w:color="auto"/>
        <w:right w:val="none" w:sz="0" w:space="0" w:color="auto"/>
      </w:divBdr>
    </w:div>
    <w:div w:id="1556043302">
      <w:bodyDiv w:val="1"/>
      <w:marLeft w:val="0"/>
      <w:marRight w:val="0"/>
      <w:marTop w:val="0"/>
      <w:marBottom w:val="0"/>
      <w:divBdr>
        <w:top w:val="none" w:sz="0" w:space="0" w:color="auto"/>
        <w:left w:val="none" w:sz="0" w:space="0" w:color="auto"/>
        <w:bottom w:val="none" w:sz="0" w:space="0" w:color="auto"/>
        <w:right w:val="none" w:sz="0" w:space="0" w:color="auto"/>
      </w:divBdr>
    </w:div>
    <w:div w:id="1556968193">
      <w:bodyDiv w:val="1"/>
      <w:marLeft w:val="0"/>
      <w:marRight w:val="0"/>
      <w:marTop w:val="0"/>
      <w:marBottom w:val="0"/>
      <w:divBdr>
        <w:top w:val="none" w:sz="0" w:space="0" w:color="auto"/>
        <w:left w:val="none" w:sz="0" w:space="0" w:color="auto"/>
        <w:bottom w:val="none" w:sz="0" w:space="0" w:color="auto"/>
        <w:right w:val="none" w:sz="0" w:space="0" w:color="auto"/>
      </w:divBdr>
    </w:div>
    <w:div w:id="1573931986">
      <w:bodyDiv w:val="1"/>
      <w:marLeft w:val="0"/>
      <w:marRight w:val="0"/>
      <w:marTop w:val="0"/>
      <w:marBottom w:val="0"/>
      <w:divBdr>
        <w:top w:val="none" w:sz="0" w:space="0" w:color="auto"/>
        <w:left w:val="none" w:sz="0" w:space="0" w:color="auto"/>
        <w:bottom w:val="none" w:sz="0" w:space="0" w:color="auto"/>
        <w:right w:val="none" w:sz="0" w:space="0" w:color="auto"/>
      </w:divBdr>
    </w:div>
    <w:div w:id="1842238674">
      <w:bodyDiv w:val="1"/>
      <w:marLeft w:val="0"/>
      <w:marRight w:val="0"/>
      <w:marTop w:val="0"/>
      <w:marBottom w:val="0"/>
      <w:divBdr>
        <w:top w:val="none" w:sz="0" w:space="0" w:color="auto"/>
        <w:left w:val="none" w:sz="0" w:space="0" w:color="auto"/>
        <w:bottom w:val="none" w:sz="0" w:space="0" w:color="auto"/>
        <w:right w:val="none" w:sz="0" w:space="0" w:color="auto"/>
      </w:divBdr>
    </w:div>
    <w:div w:id="1929076632">
      <w:bodyDiv w:val="1"/>
      <w:marLeft w:val="0"/>
      <w:marRight w:val="0"/>
      <w:marTop w:val="0"/>
      <w:marBottom w:val="0"/>
      <w:divBdr>
        <w:top w:val="none" w:sz="0" w:space="0" w:color="auto"/>
        <w:left w:val="none" w:sz="0" w:space="0" w:color="auto"/>
        <w:bottom w:val="none" w:sz="0" w:space="0" w:color="auto"/>
        <w:right w:val="none" w:sz="0" w:space="0" w:color="auto"/>
      </w:divBdr>
    </w:div>
    <w:div w:id="1965966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evesl\AppData\Local\Hewlett-Packard\HP%20TRIM\TEMP\HPTRIM.7444\D21%20109298%20%202021%20Connecting%20women%20in%20industry%20flyer.DOTX" TargetMode="External"/></Relationships>
</file>

<file path=word/theme/theme1.xml><?xml version="1.0" encoding="utf-8"?>
<a:theme xmlns:a="http://schemas.openxmlformats.org/drawingml/2006/main" name="Office Theme">
  <a:themeElements>
    <a:clrScheme name="Custom 1">
      <a:dk1>
        <a:srgbClr val="263746"/>
      </a:dk1>
      <a:lt1>
        <a:sysClr val="window" lastClr="FFFFFF"/>
      </a:lt1>
      <a:dk2>
        <a:srgbClr val="263746"/>
      </a:dk2>
      <a:lt2>
        <a:srgbClr val="D5D5D5"/>
      </a:lt2>
      <a:accent1>
        <a:srgbClr val="005EB8"/>
      </a:accent1>
      <a:accent2>
        <a:srgbClr val="06325E"/>
      </a:accent2>
      <a:accent3>
        <a:srgbClr val="039ED6"/>
      </a:accent3>
      <a:accent4>
        <a:srgbClr val="81CFEB"/>
      </a:accent4>
      <a:accent5>
        <a:srgbClr val="005EB8"/>
      </a:accent5>
      <a:accent6>
        <a:srgbClr val="005EB8"/>
      </a:accent6>
      <a:hlink>
        <a:srgbClr val="005EB8"/>
      </a:hlink>
      <a:folHlink>
        <a:srgbClr val="005EB8"/>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7129f0-0463-4962-81be-1a9794895989">
      <Terms xmlns="http://schemas.microsoft.com/office/infopath/2007/PartnerControls"/>
    </lcf76f155ced4ddcb4097134ff3c332f>
    <TaxCatchAll xmlns="273cfe05-9600-4bc0-9fef-fc393ddf982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A042F9250B504F8771EF627DBE6D43" ma:contentTypeVersion="17" ma:contentTypeDescription="Create a new document." ma:contentTypeScope="" ma:versionID="cbd98053624b6613a6b50e7f13720c94">
  <xsd:schema xmlns:xsd="http://www.w3.org/2001/XMLSchema" xmlns:xs="http://www.w3.org/2001/XMLSchema" xmlns:p="http://schemas.microsoft.com/office/2006/metadata/properties" xmlns:ns2="357129f0-0463-4962-81be-1a9794895989" xmlns:ns3="273cfe05-9600-4bc0-9fef-fc393ddf9824" targetNamespace="http://schemas.microsoft.com/office/2006/metadata/properties" ma:root="true" ma:fieldsID="5db28bac1efe175fe95f130b212e8cd2" ns2:_="" ns3:_="">
    <xsd:import namespace="357129f0-0463-4962-81be-1a9794895989"/>
    <xsd:import namespace="273cfe05-9600-4bc0-9fef-fc393ddf9824"/>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7129f0-0463-4962-81be-1a97948959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7e143e-f671-4e9b-91fb-41d87af1a9a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3cfe05-9600-4bc0-9fef-fc393ddf982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0aede3a-e56c-4738-aa0b-0af31c915cb5}" ma:internalName="TaxCatchAll" ma:showField="CatchAllData" ma:web="273cfe05-9600-4bc0-9fef-fc393ddf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6DE52-00CB-45B9-A296-0DE4C76993AB}">
  <ds:schemaRefs>
    <ds:schemaRef ds:uri="http://schemas.microsoft.com/office/2006/metadata/properties"/>
    <ds:schemaRef ds:uri="http://schemas.microsoft.com/office/infopath/2007/PartnerControls"/>
    <ds:schemaRef ds:uri="357129f0-0463-4962-81be-1a9794895989"/>
    <ds:schemaRef ds:uri="273cfe05-9600-4bc0-9fef-fc393ddf9824"/>
  </ds:schemaRefs>
</ds:datastoreItem>
</file>

<file path=customXml/itemProps2.xml><?xml version="1.0" encoding="utf-8"?>
<ds:datastoreItem xmlns:ds="http://schemas.openxmlformats.org/officeDocument/2006/customXml" ds:itemID="{AC9E42FA-13A4-4D92-BFB0-911DA0395B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7129f0-0463-4962-81be-1a9794895989"/>
    <ds:schemaRef ds:uri="273cfe05-9600-4bc0-9fef-fc393ddf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2D61C5-EDA7-411A-937E-A66B829BAC39}">
  <ds:schemaRefs>
    <ds:schemaRef ds:uri="http://schemas.openxmlformats.org/officeDocument/2006/bibliography"/>
  </ds:schemaRefs>
</ds:datastoreItem>
</file>

<file path=customXml/itemProps4.xml><?xml version="1.0" encoding="utf-8"?>
<ds:datastoreItem xmlns:ds="http://schemas.openxmlformats.org/officeDocument/2006/customXml" ds:itemID="{C5F1D065-05D1-4294-83A9-FEBD070AA70B}">
  <ds:schemaRefs>
    <ds:schemaRef ds:uri="http://schemas.microsoft.com/sharepoint/v3/contenttype/forms"/>
  </ds:schemaRefs>
</ds:datastoreItem>
</file>

<file path=docMetadata/LabelInfo.xml><?xml version="1.0" encoding="utf-8"?>
<clbl:labelList xmlns:clbl="http://schemas.microsoft.com/office/2020/mipLabelMetadata">
  <clbl:label id="{c7c404fe-066d-4373-b4c0-533752c0f188}" enabled="1" method="Privileged" siteId="{7db2bee6-535c-4748-bf78-c30733511bcd}" removed="0"/>
</clbl:labelList>
</file>

<file path=docProps/app.xml><?xml version="1.0" encoding="utf-8"?>
<Properties xmlns="http://schemas.openxmlformats.org/officeDocument/2006/extended-properties" xmlns:vt="http://schemas.openxmlformats.org/officeDocument/2006/docPropsVTypes">
  <Template>D21 109298  2021 Connecting women in industry flyer</Template>
  <TotalTime>0</TotalTime>
  <Pages>6</Pages>
  <Words>1543</Words>
  <Characters>8462</Characters>
  <Application>Microsoft Office Word</Application>
  <DocSecurity>0</DocSecurity>
  <Lines>705</Lines>
  <Paragraphs>117</Paragraphs>
  <ScaleCrop>false</ScaleCrop>
  <HeadingPairs>
    <vt:vector size="2" baseType="variant">
      <vt:variant>
        <vt:lpstr>Title</vt:lpstr>
      </vt:variant>
      <vt:variant>
        <vt:i4>1</vt:i4>
      </vt:variant>
    </vt:vector>
  </HeadingPairs>
  <TitlesOfParts>
    <vt:vector size="1" baseType="lpstr">
      <vt:lpstr/>
    </vt:vector>
  </TitlesOfParts>
  <Company>DPC-DSD</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Jeeves</dc:creator>
  <cp:keywords/>
  <dc:description/>
  <cp:lastModifiedBy>Tony Williams</cp:lastModifiedBy>
  <cp:revision>4</cp:revision>
  <cp:lastPrinted>2022-06-28T00:20:00Z</cp:lastPrinted>
  <dcterms:created xsi:type="dcterms:W3CDTF">2026-07-02T04:58:00Z</dcterms:created>
  <dcterms:modified xsi:type="dcterms:W3CDTF">2026-07-03T05:40:00Z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1;#Communications marketing and media</vt:lpwstr>
  </property>
  <property fmtid="{D5CDD505-2E9C-101B-9397-08002B2CF9AE}" pid="3" name="Order">
    <vt:lpwstr>13400.0000000000</vt:lpwstr>
  </property>
  <property fmtid="{D5CDD505-2E9C-101B-9397-08002B2CF9AE}" pid="4" name="Topics">
    <vt:lpwstr>Document templates for internal use only</vt:lpwstr>
  </property>
  <property fmtid="{D5CDD505-2E9C-101B-9397-08002B2CF9AE}" pid="5" name="ContentType">
    <vt:lpwstr>DIP Document</vt:lpwstr>
  </property>
  <property fmtid="{D5CDD505-2E9C-101B-9397-08002B2CF9AE}" pid="6" name="Detail">
    <vt:lpwstr>Portrait layout - use for creating internal use documents only, e.g. policies</vt:lpwstr>
  </property>
  <property fmtid="{D5CDD505-2E9C-101B-9397-08002B2CF9AE}" pid="7" name="Category">
    <vt:lpwstr>Document templates - internal use, name tags, fax cover sheets</vt:lpwstr>
  </property>
  <property fmtid="{D5CDD505-2E9C-101B-9397-08002B2CF9AE}" pid="8" name="_dlc_DocId">
    <vt:lpwstr>7RXDUX7PUWUM-82-629</vt:lpwstr>
  </property>
  <property fmtid="{D5CDD505-2E9C-101B-9397-08002B2CF9AE}" pid="9" name="_dlc_DocIdItemGuid">
    <vt:lpwstr>5c78271d-c5c2-4ab6-a969-a97fc98a8ba5</vt:lpwstr>
  </property>
  <property fmtid="{D5CDD505-2E9C-101B-9397-08002B2CF9AE}" pid="10" name="_dlc_DocIdUrl">
    <vt:lpwstr>http://focus/documents/templates/_layouts/DocIdRedir.aspx?ID=7RXDUX7PUWUM-82-629, 7RXDUX7PUWUM-82-629</vt:lpwstr>
  </property>
  <property fmtid="{D5CDD505-2E9C-101B-9397-08002B2CF9AE}" pid="11" name="ContentTypeId">
    <vt:lpwstr>0x01010068A042F9250B504F8771EF627DBE6D43</vt:lpwstr>
  </property>
  <property fmtid="{D5CDD505-2E9C-101B-9397-08002B2CF9AE}" pid="12" name="MediaServiceImageTags">
    <vt:lpwstr/>
  </property>
  <property fmtid="{D5CDD505-2E9C-101B-9397-08002B2CF9AE}" pid="13" name="docLang">
    <vt:lpwstr>en</vt:lpwstr>
  </property>
</Properties>
</file>